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-SA"/>
        </w:rPr>
        <w:t>商家收款账号收集表</w:t>
      </w:r>
    </w:p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90"/>
        <w:gridCol w:w="3114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账号名称</w:t>
            </w:r>
            <w:r>
              <w:rPr>
                <w:rStyle w:val="5"/>
                <w:lang w:val="en-US" w:eastAsia="zh-CN" w:bidi="ar"/>
              </w:rPr>
              <w:t>（商务局官网公示的门店名称）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收单账号</w:t>
            </w:r>
            <w:r>
              <w:rPr>
                <w:rStyle w:val="5"/>
                <w:lang w:val="en-US" w:eastAsia="zh-CN" w:bidi="ar"/>
              </w:rPr>
              <w:t>(该栏需确定为文本格式，数字格式将导致收单账号错误)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商户门店详细地址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XXX店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2088212286960220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鄂州市XXXXX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0A62"/>
    <w:rsid w:val="24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2024-08-16T06:49:00Z</dcterms:created>
  <dc:creator>HUAWEI</dc:creator>
  <cp:lastModifiedBy>HUAWEI</cp:lastModifiedBy>
  <dcterms:modified xsi:type="dcterms:W3CDTF">2024-08-16T06:51:23Z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