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A2D2F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bookmarkStart w:id="1" w:name="_GoBack"/>
      <w:bookmarkEnd w:id="1"/>
      <w:bookmarkStart w:id="0" w:name="_Toc24378"/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附件1：</w:t>
      </w:r>
    </w:p>
    <w:p w14:paraId="4B484121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/>
          <w:b w:val="0"/>
          <w:bCs w:val="0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鄂州花湖机场公共国际货站服务价格表</w:t>
      </w:r>
      <w:bookmarkEnd w:id="0"/>
    </w:p>
    <w:p w14:paraId="3CCA30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Arial" w:eastAsia="宋体" w:cs="Arial"/>
          <w:b/>
          <w:bCs/>
          <w:color w:val="000000"/>
          <w:kern w:val="24"/>
          <w:sz w:val="36"/>
          <w:szCs w:val="36"/>
          <w14:ligatures w14:val="none"/>
        </w:rPr>
      </w:pPr>
      <w:r>
        <w:rPr>
          <w:rFonts w:ascii="宋体" w:hAnsi="Arial" w:eastAsia="宋体" w:cs="Arial"/>
          <w:b/>
          <w:bCs/>
          <w:color w:val="000000"/>
          <w:kern w:val="24"/>
          <w:sz w:val="36"/>
          <w:szCs w:val="36"/>
          <w14:ligatures w14:val="none"/>
        </w:rPr>
        <w:t>基础类</w:t>
      </w:r>
    </w:p>
    <w:p w14:paraId="6A64381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  <w:r>
        <w:rPr>
          <w:rFonts w:hint="eastAsia" w:ascii="Arial" w:hAnsi="宋体" w:eastAsia="宋体" w:cs="Arial"/>
          <w:b/>
          <w:bCs/>
          <w:color w:val="000000"/>
          <w:kern w:val="24"/>
          <w:sz w:val="20"/>
          <w:szCs w:val="20"/>
          <w14:ligatures w14:val="none"/>
        </w:rPr>
        <w:t>适用于托运人/收货人/代理人/航空公司/其他客户</w:t>
      </w:r>
    </w:p>
    <w:tbl>
      <w:tblPr>
        <w:tblStyle w:val="9"/>
        <w:tblW w:w="134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38"/>
        <w:gridCol w:w="1485"/>
        <w:gridCol w:w="5092"/>
        <w:gridCol w:w="679"/>
        <w:gridCol w:w="1326"/>
        <w:gridCol w:w="1031"/>
        <w:gridCol w:w="2319"/>
      </w:tblGrid>
      <w:tr w14:paraId="0F9DE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C347CDD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编号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AF1BA06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收费项目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3AF9705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货物类别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4AAA6D2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收费明细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3D69F4F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价格</w:t>
            </w:r>
          </w:p>
          <w:p w14:paraId="120F85EE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（元）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F2692AB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计费基准</w:t>
            </w:r>
          </w:p>
          <w:p w14:paraId="2F9DCA92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（按计费重）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338000B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最低收费</w:t>
            </w:r>
          </w:p>
          <w:p w14:paraId="793A9734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（元）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3CA05D1"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备注</w:t>
            </w:r>
          </w:p>
        </w:tc>
      </w:tr>
      <w:tr w14:paraId="587615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C7A9EC4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40"/>
                <w:szCs w:val="40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FDD4F0A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货站使用费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3DC02DA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进出港普通货物、快件类货物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98710A0"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普通货物指：普货、锂电池符合965-970第二部分的货物；</w:t>
            </w:r>
          </w:p>
          <w:p w14:paraId="0C5E2C7D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快件类货物指：进港按照快件方式报关的货物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9262831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0.5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298076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F938B21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5元/票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CC1C80C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19FDB9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097FEF0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5022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3B4075D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进出港特种货物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4D0407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特种货物指：急件；外交信袋；菌种、毒种；植物和植物产品；枪械；骨灰和灵柩；作为货物运输的行李；贵重物品；活体动物；危险品；烟草；麻醉药品；机动车辆；押运货物及精密仪器等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1FF5C0C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B1E89FD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1A32AE4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100元/票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99A0ADB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精密仪器特指货物外包装张贴防倾斜、防震动标识，且货主、代理发送邮件要求货站按照精密仪器标准操作的货物</w:t>
            </w:r>
          </w:p>
        </w:tc>
      </w:tr>
      <w:tr w14:paraId="176EE2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69EAE06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F69AC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366366C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进境指定监管场地货物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C641DF2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包括冰鲜、水果、食用水生动物、药品、植物种苗等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9ED2EAA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0.5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1EE7EA0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5E1AD1C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100元/票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D40CD97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7AB4A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7A7D399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D7D82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7A64160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进出港邮件货物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F32AE92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进出港邮件货物指：进出港为邮件的货物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9F2EDE2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35791F3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77A056F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50元/票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1955047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199BD4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8" w:hRule="atLeast"/>
          <w:tblHeader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8496ACF">
            <w:pPr>
              <w:widowControl/>
              <w:jc w:val="center"/>
              <w:rPr>
                <w:rFonts w:hint="eastAsia" w:ascii="仿宋" w:hAnsi="仿宋" w:eastAsia="仿宋" w:cs="Arial"/>
                <w:color w:val="000000"/>
                <w:kern w:val="0"/>
                <w:sz w:val="40"/>
                <w:szCs w:val="40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/>
                <w14:ligatures w14:val="none"/>
              </w:rPr>
              <w:t>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48B128E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地面服务费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B3B7CFE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出港所有品类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52F8850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月台货物接驳安检及库区接驳称重等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9B426E2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0.2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07EA6EA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BF63E41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CE9D34D">
            <w:pPr>
              <w:widowControl/>
              <w:jc w:val="center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此项收费同“货站使用费”累加后，按“货站使用费”最低收费执行</w:t>
            </w:r>
          </w:p>
        </w:tc>
      </w:tr>
    </w:tbl>
    <w:p w14:paraId="43A3DFF8">
      <w:pPr>
        <w:pStyle w:val="2"/>
        <w:pageBreakBefore w:val="0"/>
        <w:kinsoku/>
        <w:wordWrap/>
        <w:overflowPunct/>
        <w:topLinePunct w:val="0"/>
        <w:bidi w:val="0"/>
        <w:adjustRightInd w:val="0"/>
        <w:snapToGrid/>
        <w:ind w:left="0" w:leftChars="0" w:firstLine="0"/>
        <w:textAlignment w:val="auto"/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87" w:right="1701" w:bottom="1474" w:left="1701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9"/>
        <w:tblW w:w="134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38"/>
        <w:gridCol w:w="1485"/>
        <w:gridCol w:w="5092"/>
        <w:gridCol w:w="679"/>
        <w:gridCol w:w="1326"/>
        <w:gridCol w:w="1031"/>
        <w:gridCol w:w="2319"/>
      </w:tblGrid>
      <w:tr w14:paraId="71AC4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F5B70A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939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1AB6C7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进港所有品类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FE090B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进港货物叉车、平板车、托盘车或其他设备短驳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EC69BD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0.2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5AFCEB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93A575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A41B72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此项收费同“货站使用费”累加后，按“货站使用费”最低收费执行</w:t>
            </w:r>
          </w:p>
        </w:tc>
      </w:tr>
      <w:tr w14:paraId="1D532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E9010F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40"/>
                <w:szCs w:val="40"/>
                <w14:ligatures w14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E94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C36002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进出港所有品类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A14C9E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口岸货物协助查验费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5BF054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0.2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3DB40E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DBC946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200元/票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00312A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06512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7F8A9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40"/>
                <w:szCs w:val="4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/>
                <w14:ligatures w14:val="none"/>
              </w:rPr>
              <w:t>3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D492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仓储费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A04A9E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进出港普通货物(含锂电池符合965-970第二部分)、快件类货物（特指进港按照快件方式报关的货物）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FD9DBD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货物自入库次日起免费保管2天，不足1天按1天计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43B093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0.15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EB963F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元/公斤/天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3DAAEE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80BBE1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23142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AFE7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40"/>
                <w:szCs w:val="40"/>
                <w:lang w:val="en-US" w:eastAsia="zh-CN" w:bidi="ar-SA"/>
                <w14:ligatures w14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9FD1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D435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进出港贵重品、精密仪器、骨灰灵柩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CE31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出港：免费仓储期为货物自入库次日起2天，不足1天按1天计</w:t>
            </w:r>
          </w:p>
          <w:p w14:paraId="41FF955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进港：仓储费自货物到达次日起起开始计算，不足1天按1天计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E186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0.9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DBF6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元/公斤/天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4F92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EAF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591FC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6C2A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40"/>
                <w:szCs w:val="40"/>
                <w:lang w:val="en-US" w:eastAsia="zh-CN" w:bidi="ar-SA"/>
                <w14:ligatures w14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BEBA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C825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进出港危险品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4640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货物自入库起无免费保管期，不足1天按1天计算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C69B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0.9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33BB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元/公斤/天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531D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7DF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危冷货物对照此项标准收取仓储费</w:t>
            </w:r>
          </w:p>
        </w:tc>
      </w:tr>
      <w:tr w14:paraId="00B33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5223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40"/>
                <w:szCs w:val="40"/>
                <w:lang w:val="en-US" w:eastAsia="zh-CN" w:bidi="ar-SA"/>
                <w14:ligatures w14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4FD2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EB7A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进出港活体动物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46E5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出港：免费仓储期为货物自入库次日起2天，不足1天按1天计</w:t>
            </w:r>
          </w:p>
          <w:p w14:paraId="705BE58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进港：货物自入库起无免费保管期，不足1天按1天计算，按照冷库使用价格计费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53D9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0.9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AE7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元/公斤/天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90C1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C5D2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7052C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FB80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40"/>
                <w:szCs w:val="40"/>
                <w:lang w:val="en-US" w:eastAsia="zh-CN" w:bidi="ar-SA"/>
                <w14:ligatures w14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C8B9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C7D2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进出港冷冻冷藏恒温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F004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货物自入冷库起无免费保管期，不足1天按1天计算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E2FB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0.45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D74E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元/公斤/天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6C7E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200元/天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CB1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特指运单上要求放冷库或应货主要求提供冷库、恒温库储藏服务</w:t>
            </w:r>
          </w:p>
        </w:tc>
      </w:tr>
    </w:tbl>
    <w:p w14:paraId="66D921F1">
      <w:pPr>
        <w:pStyle w:val="2"/>
        <w:pageBreakBefore w:val="0"/>
        <w:kinsoku/>
        <w:wordWrap/>
        <w:overflowPunct/>
        <w:topLinePunct w:val="0"/>
        <w:bidi w:val="0"/>
        <w:adjustRightInd w:val="0"/>
        <w:snapToGrid/>
        <w:ind w:left="0" w:leftChars="0" w:firstLine="0"/>
        <w:textAlignment w:val="auto"/>
        <w:rPr>
          <w:rFonts w:hint="eastAsia"/>
          <w:lang w:val="en-US" w:eastAsia="zh-CN"/>
        </w:rPr>
        <w:sectPr>
          <w:pgSz w:w="16838" w:h="11906" w:orient="landscape"/>
          <w:pgMar w:top="1587" w:right="1701" w:bottom="1474" w:left="1701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9"/>
        <w:tblW w:w="13471" w:type="dxa"/>
        <w:tblInd w:w="-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38"/>
        <w:gridCol w:w="1485"/>
        <w:gridCol w:w="5092"/>
        <w:gridCol w:w="679"/>
        <w:gridCol w:w="1326"/>
        <w:gridCol w:w="1031"/>
        <w:gridCol w:w="2319"/>
      </w:tblGrid>
      <w:tr w14:paraId="4E0E5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B18E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40"/>
                <w:szCs w:val="40"/>
                <w:lang w:val="en-US" w:eastAsia="zh-CN" w:bidi="ar-SA"/>
                <w14:ligatures w14:val="none"/>
              </w:rPr>
            </w:pP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D09C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4AA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进出港鲜活易腐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4425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货物自入库次日起免费保管1天，不足1天按1天计</w:t>
            </w:r>
          </w:p>
          <w:p w14:paraId="0F4BFA0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需要进行温度控制货物参照“冷冻冷藏恒温”计价项执行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5D54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0.45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51ED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元/公斤/天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80B2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481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58F6B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4B9B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40"/>
                <w:szCs w:val="40"/>
                <w:lang w:val="en-US" w:eastAsia="zh-CN" w:bidi="ar-SA"/>
                <w14:ligatures w14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43AB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4ACC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进出港其他特种货物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806E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货物自入库次日起免费保管2天，不足1天按1天计</w:t>
            </w:r>
          </w:p>
          <w:p w14:paraId="6D267EA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其他特种货物指：急件；外交信袋；菌种、毒种；枪械；作为货物运输的行李；烟草；麻醉药品；机动车辆；押运货物等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06F6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0.9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9FC4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元/公斤/天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B202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57A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18F6F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719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40"/>
                <w:szCs w:val="40"/>
                <w:lang w:val="en-US" w:eastAsia="zh-CN" w:bidi="ar-SA"/>
                <w14:ligatures w14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1425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9EF8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进出港邮件货物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3C31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货物自入库次日起免费保管1天，不足1天按1天计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9968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0.9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7943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元/公斤/天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E8F9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D6F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7F06E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F57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/>
                <w14:ligatures w14:val="none"/>
              </w:rPr>
              <w:t>4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2835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退仓费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1BB0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出港所有品类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40B6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含退运货物手续费</w:t>
            </w:r>
          </w:p>
          <w:p w14:paraId="2F85175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在“货站使用费+地面服务费+仓储费”基础上额外收取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BEBC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0.2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DABE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0646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100元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F8E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575B7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F4E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24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/>
                <w14:ligatures w14:val="none"/>
              </w:rPr>
              <w:t>5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5AD8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危险品收运检查费</w:t>
            </w:r>
          </w:p>
          <w:p w14:paraId="05909B0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(按DGD申报)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18C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出港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C2A3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每票货包含少于或等于三个UN代码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3854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300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2D79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元/运单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EFCB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B5E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22FAB1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EAC3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24"/>
                <w:sz w:val="20"/>
                <w:szCs w:val="20"/>
                <w:lang w:val="en-US" w:eastAsia="zh-CN" w:bidi="ar-SA"/>
                <w14:ligatures w14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FDD0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801E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7949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如果单个申报多于三个UN代码的费用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2FF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5894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元/每个增加</w:t>
            </w:r>
          </w:p>
          <w:p w14:paraId="29827A0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的UN代码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A7AB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F9B4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2240C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BA5D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/>
                <w14:ligatures w14:val="none"/>
              </w:rPr>
              <w:t>6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2C4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危险品重新审核费</w:t>
            </w: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9379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BF49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需补充资料重新提交收运时收取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C6EB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7999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元/运单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9E6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EC2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1256B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5048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/>
                <w14:ligatures w14:val="none"/>
              </w:rPr>
              <w:t>7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120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贵重物品收运检查费</w:t>
            </w: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DDF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17CA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FE4E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5A5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元/运单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D17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7B61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01E78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0E1C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/>
                <w14:ligatures w14:val="none"/>
              </w:rPr>
              <w:t>8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60FE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活体动物收运检查费</w:t>
            </w: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4C6C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FE1E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F650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2E63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元/运单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A69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35E9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</w:tbl>
    <w:p w14:paraId="71F31BAD">
      <w:pPr>
        <w:pStyle w:val="2"/>
        <w:pageBreakBefore w:val="0"/>
        <w:kinsoku/>
        <w:wordWrap/>
        <w:overflowPunct/>
        <w:topLinePunct w:val="0"/>
        <w:bidi w:val="0"/>
        <w:adjustRightInd w:val="0"/>
        <w:snapToGrid/>
        <w:ind w:left="0" w:leftChars="0" w:firstLine="0"/>
        <w:textAlignment w:val="auto"/>
        <w:rPr>
          <w:rFonts w:hint="eastAsia"/>
          <w:lang w:val="en-US" w:eastAsia="zh-CN"/>
        </w:rPr>
        <w:sectPr>
          <w:pgSz w:w="16838" w:h="11906" w:orient="landscape"/>
          <w:pgMar w:top="1587" w:right="1701" w:bottom="1474" w:left="1701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9"/>
        <w:tblW w:w="13471" w:type="dxa"/>
        <w:tblInd w:w="-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038"/>
        <w:gridCol w:w="1485"/>
        <w:gridCol w:w="5092"/>
        <w:gridCol w:w="679"/>
        <w:gridCol w:w="1326"/>
        <w:gridCol w:w="1031"/>
        <w:gridCol w:w="2319"/>
      </w:tblGrid>
      <w:tr w14:paraId="794B1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F33D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24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/>
                <w14:ligatures w14:val="none"/>
              </w:rPr>
              <w:t>9</w:t>
            </w:r>
          </w:p>
        </w:tc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0E3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集装器重新装卸费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2782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0CA8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5立方以内(含5立方)集装器/卡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21F3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F26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元/集装器、卡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AC3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858A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09D21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5E0D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24"/>
                <w:sz w:val="20"/>
                <w:szCs w:val="20"/>
                <w:lang w:val="en-US" w:eastAsia="zh-CN" w:bidi="ar-SA"/>
                <w14:ligatures w14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86D1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46D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B53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5立方以上集装器/卡，10立方米以下(含)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C1E5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400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52B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元/集装器、卡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4091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1B7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071FD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FE53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24"/>
                <w:sz w:val="20"/>
                <w:szCs w:val="20"/>
                <w:lang w:val="en-US" w:eastAsia="zh-CN" w:bidi="ar-SA"/>
                <w14:ligatures w14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7B99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228D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983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10立方以上集装器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9AD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600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86C2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元/集装器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DB1A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/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0E83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3AD82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4963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default" w:ascii="仿宋" w:hAnsi="仿宋" w:eastAsia="仿宋" w:cs="Arial"/>
                <w:color w:val="000000"/>
                <w:kern w:val="24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/>
                <w14:ligatures w14:val="none"/>
              </w:rPr>
              <w:t>10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C3C3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分运单提货费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83DA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进港</w:t>
            </w: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DFBD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针对一主多分的提货需求，收费时在货站使用费+地面服务费+仓储费基础上根据分单计费重量累加收取分运单提货费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D31D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0.3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C027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5F04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50元/票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524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4093D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20B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default" w:ascii="仿宋" w:hAnsi="仿宋" w:eastAsia="仿宋" w:cs="Arial"/>
                <w:color w:val="000000"/>
                <w:kern w:val="24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/>
                <w14:ligatures w14:val="none"/>
              </w:rPr>
              <w:t>11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C65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BUP整板提货费</w:t>
            </w: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50B4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AC96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同进港货物货站使用费、地面服务费不重复收取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DA1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0.4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E770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DD3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200元/票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EE04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4C69D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tblHeader/>
        </w:trPr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A3E4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default" w:ascii="仿宋" w:hAnsi="仿宋" w:eastAsia="仿宋" w:cs="Arial"/>
                <w:color w:val="000000"/>
                <w:kern w:val="24"/>
                <w:sz w:val="20"/>
                <w:szCs w:val="20"/>
                <w:lang w:val="en-US" w:eastAsia="zh-CN" w:bidi="ar-SA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0"/>
                <w:szCs w:val="20"/>
                <w:lang w:val="en-US" w:eastAsia="zh-CN"/>
                <w14:ligatures w14:val="none"/>
              </w:rPr>
              <w:t>12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3194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优先理货</w:t>
            </w:r>
          </w:p>
          <w:p w14:paraId="094DDB1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及交付服务费</w:t>
            </w: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D5ED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E1F2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根据收货人需求进港货物优先理货及交付</w:t>
            </w:r>
          </w:p>
          <w:p w14:paraId="56B9A4B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在货站使用费+地面服务费+仓储费基础上累加收取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197F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0.2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E2B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元/公斤/票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1739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200元/票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AD5F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</w:tbl>
    <w:p w14:paraId="5FFB5091">
      <w:pPr>
        <w:pStyle w:val="2"/>
        <w:pageBreakBefore w:val="0"/>
        <w:kinsoku/>
        <w:wordWrap/>
        <w:overflowPunct/>
        <w:topLinePunct w:val="0"/>
        <w:bidi w:val="0"/>
        <w:adjustRightInd w:val="0"/>
        <w:snapToGrid/>
        <w:ind w:left="0" w:leftChars="0" w:firstLine="0"/>
        <w:textAlignment w:val="auto"/>
        <w:rPr>
          <w:rFonts w:hint="eastAsia"/>
          <w:lang w:val="en-US" w:eastAsia="zh-CN"/>
        </w:rPr>
        <w:sectPr>
          <w:pgSz w:w="16838" w:h="11906" w:orient="landscape"/>
          <w:pgMar w:top="1587" w:right="1701" w:bottom="1474" w:left="1701" w:header="851" w:footer="992" w:gutter="0"/>
          <w:pgNumType w:fmt="decimal"/>
          <w:cols w:space="425" w:num="1"/>
          <w:docGrid w:type="lines" w:linePitch="312" w:charSpace="0"/>
        </w:sectPr>
      </w:pPr>
    </w:p>
    <w:p w14:paraId="42A4BA0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0"/>
        <w:jc w:val="left"/>
        <w:textAlignment w:val="auto"/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附件2：</w:t>
      </w:r>
    </w:p>
    <w:p w14:paraId="32A50CF7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left="0" w:leftChars="0" w:right="0" w:rightChars="0" w:firstLine="0"/>
        <w:jc w:val="center"/>
        <w:textAlignment w:val="auto"/>
        <w:rPr>
          <w:rFonts w:hint="eastAsia" w:ascii="黑体" w:hAnsi="黑体" w:eastAsia="黑体"/>
          <w:b w:val="0"/>
          <w:bCs w:val="0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鄂州花湖机场公共国际货站服务价格表</w:t>
      </w:r>
    </w:p>
    <w:p w14:paraId="1C7F40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/>
        <w:jc w:val="center"/>
        <w:textAlignment w:val="auto"/>
        <w:rPr>
          <w:rFonts w:ascii="宋体" w:hAnsi="Arial" w:eastAsia="宋体" w:cs="Arial"/>
          <w:b/>
          <w:bCs/>
          <w:color w:val="000000"/>
          <w:kern w:val="24"/>
          <w:sz w:val="36"/>
          <w:szCs w:val="36"/>
          <w14:ligatures w14:val="none"/>
        </w:rPr>
      </w:pPr>
      <w:r>
        <w:rPr>
          <w:rFonts w:hint="eastAsia" w:ascii="宋体" w:hAnsi="Arial" w:eastAsia="宋体" w:cs="Arial"/>
          <w:b/>
          <w:bCs/>
          <w:color w:val="000000"/>
          <w:kern w:val="24"/>
          <w:sz w:val="36"/>
          <w:szCs w:val="36"/>
          <w:lang w:val="en-US" w:eastAsia="zh-CN"/>
          <w14:ligatures w14:val="none"/>
        </w:rPr>
        <w:t>特色</w:t>
      </w:r>
      <w:r>
        <w:rPr>
          <w:rFonts w:ascii="宋体" w:hAnsi="Arial" w:eastAsia="宋体" w:cs="Arial"/>
          <w:b/>
          <w:bCs/>
          <w:color w:val="000000"/>
          <w:kern w:val="24"/>
          <w:sz w:val="36"/>
          <w:szCs w:val="36"/>
          <w14:ligatures w14:val="none"/>
        </w:rPr>
        <w:t>类</w:t>
      </w:r>
    </w:p>
    <w:p w14:paraId="4CF1E2D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</w:pPr>
      <w:r>
        <w:rPr>
          <w:rFonts w:hint="eastAsia" w:ascii="Arial" w:hAnsi="宋体" w:eastAsia="宋体" w:cs="Arial"/>
          <w:b/>
          <w:bCs/>
          <w:color w:val="000000"/>
          <w:kern w:val="24"/>
          <w:sz w:val="20"/>
          <w:szCs w:val="20"/>
          <w14:ligatures w14:val="none"/>
        </w:rPr>
        <w:t>适用于托运人/收货人/代理人/航空公司/其他客户</w:t>
      </w:r>
    </w:p>
    <w:tbl>
      <w:tblPr>
        <w:tblStyle w:val="9"/>
        <w:tblW w:w="134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4197"/>
        <w:gridCol w:w="1049"/>
        <w:gridCol w:w="4464"/>
        <w:gridCol w:w="1310"/>
        <w:gridCol w:w="1801"/>
      </w:tblGrid>
      <w:tr w14:paraId="7BDA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E927C5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编号</w:t>
            </w:r>
          </w:p>
        </w:tc>
        <w:tc>
          <w:tcPr>
            <w:tcW w:w="419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9ECFDD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收费项目</w:t>
            </w:r>
          </w:p>
        </w:tc>
        <w:tc>
          <w:tcPr>
            <w:tcW w:w="10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F7E81F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价格(元)</w:t>
            </w:r>
          </w:p>
        </w:tc>
        <w:tc>
          <w:tcPr>
            <w:tcW w:w="4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8F6265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计费基准</w:t>
            </w:r>
          </w:p>
        </w:tc>
        <w:tc>
          <w:tcPr>
            <w:tcW w:w="131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81724E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最低收费</w:t>
            </w:r>
          </w:p>
          <w:p w14:paraId="43AAC1E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>
              <w:rPr>
                <w:rFonts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(元)</w:t>
            </w:r>
          </w:p>
        </w:tc>
        <w:tc>
          <w:tcPr>
            <w:tcW w:w="1801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2FB7BB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24"/>
                <w:sz w:val="20"/>
                <w:szCs w:val="20"/>
                <w14:ligatures w14:val="none"/>
              </w:rPr>
              <w:t>备注</w:t>
            </w:r>
          </w:p>
        </w:tc>
      </w:tr>
      <w:tr w14:paraId="56AD9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2826AA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</w:t>
            </w:r>
          </w:p>
        </w:tc>
        <w:tc>
          <w:tcPr>
            <w:tcW w:w="419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698B38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拍照服务费</w:t>
            </w:r>
          </w:p>
        </w:tc>
        <w:tc>
          <w:tcPr>
            <w:tcW w:w="10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5BDE02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50</w:t>
            </w:r>
          </w:p>
        </w:tc>
        <w:tc>
          <w:tcPr>
            <w:tcW w:w="4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442F04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元/张</w:t>
            </w:r>
          </w:p>
        </w:tc>
        <w:tc>
          <w:tcPr>
            <w:tcW w:w="131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E2E81C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150/票</w:t>
            </w:r>
          </w:p>
        </w:tc>
        <w:tc>
          <w:tcPr>
            <w:tcW w:w="1801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A48CA9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7A33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5818CC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2</w:t>
            </w:r>
          </w:p>
        </w:tc>
        <w:tc>
          <w:tcPr>
            <w:tcW w:w="419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852354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复磅费</w:t>
            </w:r>
          </w:p>
          <w:p w14:paraId="7F0F8D6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(①出港复磅后差异大于2%的情况下收取②进港复磅)</w:t>
            </w:r>
          </w:p>
        </w:tc>
        <w:tc>
          <w:tcPr>
            <w:tcW w:w="10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E084C9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0.1</w:t>
            </w:r>
          </w:p>
        </w:tc>
        <w:tc>
          <w:tcPr>
            <w:tcW w:w="4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82E5DC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每公斤（按过磅实际重量收取）</w:t>
            </w:r>
          </w:p>
        </w:tc>
        <w:tc>
          <w:tcPr>
            <w:tcW w:w="131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DC042E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100</w:t>
            </w:r>
          </w:p>
        </w:tc>
        <w:tc>
          <w:tcPr>
            <w:tcW w:w="1801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F2DFC0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0AF99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35E6EA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3</w:t>
            </w:r>
          </w:p>
        </w:tc>
        <w:tc>
          <w:tcPr>
            <w:tcW w:w="419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0CBE02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更换标签费</w:t>
            </w:r>
          </w:p>
        </w:tc>
        <w:tc>
          <w:tcPr>
            <w:tcW w:w="10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0A5A3D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0.1</w:t>
            </w:r>
          </w:p>
        </w:tc>
        <w:tc>
          <w:tcPr>
            <w:tcW w:w="4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83704C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</w:t>
            </w:r>
          </w:p>
        </w:tc>
        <w:tc>
          <w:tcPr>
            <w:tcW w:w="131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3BF1CE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50</w:t>
            </w:r>
          </w:p>
        </w:tc>
        <w:tc>
          <w:tcPr>
            <w:tcW w:w="1801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3718FA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399CD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0A113D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4</w:t>
            </w:r>
          </w:p>
        </w:tc>
        <w:tc>
          <w:tcPr>
            <w:tcW w:w="419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CF584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运单/复印件传真费</w:t>
            </w:r>
          </w:p>
        </w:tc>
        <w:tc>
          <w:tcPr>
            <w:tcW w:w="10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AE9B20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25</w:t>
            </w:r>
          </w:p>
        </w:tc>
        <w:tc>
          <w:tcPr>
            <w:tcW w:w="4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7AADB1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每份运单/传真</w:t>
            </w:r>
          </w:p>
        </w:tc>
        <w:tc>
          <w:tcPr>
            <w:tcW w:w="131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C1CA1D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1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3CAD75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1ED2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54FDC1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5</w:t>
            </w:r>
          </w:p>
        </w:tc>
        <w:tc>
          <w:tcPr>
            <w:tcW w:w="419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098144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文件复印费</w:t>
            </w:r>
          </w:p>
        </w:tc>
        <w:tc>
          <w:tcPr>
            <w:tcW w:w="10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F21515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  <w:tc>
          <w:tcPr>
            <w:tcW w:w="4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A4C599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1元/页</w:t>
            </w:r>
          </w:p>
        </w:tc>
        <w:tc>
          <w:tcPr>
            <w:tcW w:w="131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E289E9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1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526C94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3982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59EA53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6</w:t>
            </w:r>
          </w:p>
        </w:tc>
        <w:tc>
          <w:tcPr>
            <w:tcW w:w="419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A542AE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海关舱单信息传输操作费</w:t>
            </w:r>
          </w:p>
          <w:p w14:paraId="3801DF9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（出港预配舱单、进港原始舱单传输）</w:t>
            </w:r>
          </w:p>
        </w:tc>
        <w:tc>
          <w:tcPr>
            <w:tcW w:w="10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C46B4C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</w:t>
            </w:r>
          </w:p>
        </w:tc>
        <w:tc>
          <w:tcPr>
            <w:tcW w:w="4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7AFAF6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元/主、分单</w:t>
            </w:r>
          </w:p>
        </w:tc>
        <w:tc>
          <w:tcPr>
            <w:tcW w:w="131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470A15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1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5BC111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0EFD8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C66A40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7</w:t>
            </w:r>
          </w:p>
        </w:tc>
        <w:tc>
          <w:tcPr>
            <w:tcW w:w="419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A5697C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海关舱单信息异常处理费</w:t>
            </w:r>
          </w:p>
          <w:p w14:paraId="4D85B7B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（在有分单的情况下，不收取主单异常处理费）</w:t>
            </w:r>
          </w:p>
        </w:tc>
        <w:tc>
          <w:tcPr>
            <w:tcW w:w="10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089934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50</w:t>
            </w:r>
          </w:p>
        </w:tc>
        <w:tc>
          <w:tcPr>
            <w:tcW w:w="4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D8B596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元/主、分单</w:t>
            </w:r>
          </w:p>
        </w:tc>
        <w:tc>
          <w:tcPr>
            <w:tcW w:w="131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792683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1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B1CA07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6E39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D11B11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8</w:t>
            </w:r>
          </w:p>
        </w:tc>
        <w:tc>
          <w:tcPr>
            <w:tcW w:w="419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04A6E6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SITA电报费</w:t>
            </w:r>
          </w:p>
        </w:tc>
        <w:tc>
          <w:tcPr>
            <w:tcW w:w="10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407DEC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30</w:t>
            </w:r>
          </w:p>
        </w:tc>
        <w:tc>
          <w:tcPr>
            <w:tcW w:w="4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845555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每封报文每个地址</w:t>
            </w:r>
          </w:p>
        </w:tc>
        <w:tc>
          <w:tcPr>
            <w:tcW w:w="131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AA8854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01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99B32E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14:paraId="2077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5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1C872B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/>
                <w:color w:val="000000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9</w:t>
            </w:r>
          </w:p>
        </w:tc>
        <w:tc>
          <w:tcPr>
            <w:tcW w:w="4197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B99259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空空中转操作费（不额外计算货站使用费）</w:t>
            </w:r>
          </w:p>
        </w:tc>
        <w:tc>
          <w:tcPr>
            <w:tcW w:w="10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8F46C7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整板0.2</w:t>
            </w:r>
          </w:p>
          <w:p w14:paraId="7741D23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拆板0.4</w:t>
            </w:r>
          </w:p>
        </w:tc>
        <w:tc>
          <w:tcPr>
            <w:tcW w:w="4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D909DF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</w:t>
            </w:r>
          </w:p>
        </w:tc>
        <w:tc>
          <w:tcPr>
            <w:tcW w:w="131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D5331A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</w:t>
            </w:r>
          </w:p>
        </w:tc>
        <w:tc>
          <w:tcPr>
            <w:tcW w:w="1801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987BDD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在出港货站使用费基础上累计收取</w:t>
            </w:r>
          </w:p>
        </w:tc>
      </w:tr>
      <w:tr w14:paraId="46713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50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B17C54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10</w:t>
            </w:r>
          </w:p>
        </w:tc>
        <w:tc>
          <w:tcPr>
            <w:tcW w:w="4197" w:type="dxa"/>
            <w:vMerge w:val="restart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6CD3DC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叉车租赁费</w:t>
            </w:r>
          </w:p>
        </w:tc>
        <w:tc>
          <w:tcPr>
            <w:tcW w:w="1049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960696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300</w:t>
            </w:r>
          </w:p>
        </w:tc>
        <w:tc>
          <w:tcPr>
            <w:tcW w:w="4464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0656DB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元/次/每小时（不满一小时按一小时算），小于等于3吨</w:t>
            </w:r>
          </w:p>
        </w:tc>
        <w:tc>
          <w:tcPr>
            <w:tcW w:w="1310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D5A231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300</w:t>
            </w:r>
          </w:p>
        </w:tc>
        <w:tc>
          <w:tcPr>
            <w:tcW w:w="1801" w:type="dxa"/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7CE000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1A94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50" w:type="dxa"/>
            <w:vMerge w:val="continue"/>
            <w:shd w:val="clear" w:color="auto" w:fill="auto"/>
            <w:vAlign w:val="center"/>
          </w:tcPr>
          <w:p w14:paraId="336E48F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97" w:type="dxa"/>
            <w:vMerge w:val="continue"/>
            <w:shd w:val="clear" w:color="auto" w:fill="auto"/>
            <w:vAlign w:val="center"/>
          </w:tcPr>
          <w:p w14:paraId="3F6148D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22592C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500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305E7FF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元/次/每小时（不满一小时按一小时算），大于3吨且小于等于10吨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7D1673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78676B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045C2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50" w:type="dxa"/>
            <w:shd w:val="clear" w:color="auto" w:fill="auto"/>
            <w:vAlign w:val="center"/>
          </w:tcPr>
          <w:p w14:paraId="7C2B3ED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1A2FE86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叉车司机服务费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12EDB50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5A7A0C9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人/每小时（不满一小时按一小时算）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85EB37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E492CF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204F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50" w:type="dxa"/>
            <w:shd w:val="clear" w:color="auto" w:fill="auto"/>
            <w:vAlign w:val="center"/>
          </w:tcPr>
          <w:p w14:paraId="7D80195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  <w:lang w:val="en-US" w:eastAsia="zh-CN"/>
              </w:rPr>
              <w:t>12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694AABE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办公楼租赁费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8D18E5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701C3AA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每平方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51C83E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2000/月/间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763C671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3FC5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50" w:type="dxa"/>
            <w:vMerge w:val="restart"/>
            <w:shd w:val="clear" w:color="auto" w:fill="auto"/>
            <w:vAlign w:val="center"/>
          </w:tcPr>
          <w:p w14:paraId="74E1C25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4197" w:type="dxa"/>
            <w:vMerge w:val="restart"/>
            <w:shd w:val="clear" w:color="auto" w:fill="auto"/>
            <w:vAlign w:val="center"/>
          </w:tcPr>
          <w:p w14:paraId="3C33051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路侧接收ULD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3CEDD26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300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6017B68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元/次，10块以内（含10块）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339F12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B4EEAF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55C85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50" w:type="dxa"/>
            <w:vMerge w:val="continue"/>
            <w:shd w:val="clear" w:color="auto" w:fill="auto"/>
            <w:vAlign w:val="center"/>
          </w:tcPr>
          <w:p w14:paraId="2737777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97" w:type="dxa"/>
            <w:vMerge w:val="continue"/>
            <w:shd w:val="clear" w:color="auto" w:fill="auto"/>
            <w:vAlign w:val="center"/>
          </w:tcPr>
          <w:p w14:paraId="753F410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73C08F0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500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26486FA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元/次，11块-50块（含50块）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2FAAB0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E2D89B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30128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50" w:type="dxa"/>
            <w:vMerge w:val="continue"/>
            <w:shd w:val="clear" w:color="auto" w:fill="auto"/>
            <w:vAlign w:val="center"/>
          </w:tcPr>
          <w:p w14:paraId="457F7A7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97" w:type="dxa"/>
            <w:vMerge w:val="continue"/>
            <w:shd w:val="clear" w:color="auto" w:fill="auto"/>
            <w:vAlign w:val="center"/>
          </w:tcPr>
          <w:p w14:paraId="2A03769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2DB8C33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800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229A76B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元/次，50块以上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FF705C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46838C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5AEB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50" w:type="dxa"/>
            <w:shd w:val="clear" w:color="auto" w:fill="auto"/>
            <w:vAlign w:val="center"/>
          </w:tcPr>
          <w:p w14:paraId="2C4E58B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07003E2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温控箱充电操作费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50CFE9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6E1E02D3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元/个/日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E0C06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E3B344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77E1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50" w:type="dxa"/>
            <w:shd w:val="clear" w:color="auto" w:fill="auto"/>
            <w:vAlign w:val="center"/>
          </w:tcPr>
          <w:p w14:paraId="26D5C2A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18161D9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装卸服务费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71C5A2F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0.2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2024ED3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元/公斤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19CE61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200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26FB03D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0CAEF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50" w:type="dxa"/>
            <w:shd w:val="clear" w:color="auto" w:fill="auto"/>
            <w:vAlign w:val="center"/>
          </w:tcPr>
          <w:p w14:paraId="73A371C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4"/>
                <w:lang w:val="en-US" w:eastAsia="zh-CN"/>
              </w:rPr>
              <w:t>6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464A5FF0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机坪直提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4D59D7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10000/次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7469304A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在货站使用费+地面服务费基础上收取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B9EE8C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6578AC0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</w:tr>
      <w:tr w14:paraId="29633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650" w:type="dxa"/>
            <w:shd w:val="clear" w:color="auto" w:fill="auto"/>
            <w:vAlign w:val="center"/>
          </w:tcPr>
          <w:p w14:paraId="074CED5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default" w:ascii="仿宋" w:hAnsi="仿宋" w:eastAsia="仿宋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4"/>
                <w:lang w:val="en-US" w:eastAsia="zh-CN"/>
              </w:rPr>
              <w:t>17</w:t>
            </w:r>
          </w:p>
        </w:tc>
        <w:tc>
          <w:tcPr>
            <w:tcW w:w="4197" w:type="dxa"/>
            <w:shd w:val="clear" w:color="auto" w:fill="auto"/>
            <w:vAlign w:val="center"/>
          </w:tcPr>
          <w:p w14:paraId="6FEE7014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特货保障绿色通道</w:t>
            </w:r>
          </w:p>
          <w:p w14:paraId="7674393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（例如：精密仪器、光刻胶、种猪、马匹等）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560E641C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5000/次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677F6DD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在货站使用费+地面服务费基础上收取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E7C0B85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A49CB6E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ind w:left="0" w:leftChars="0" w:firstLine="0"/>
              <w:jc w:val="center"/>
              <w:textAlignment w:val="auto"/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Arial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与“优先理货及交付服务费”不重复收取</w:t>
            </w:r>
          </w:p>
        </w:tc>
      </w:tr>
    </w:tbl>
    <w:p w14:paraId="6FC8F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74B2F68-725D-442A-AA8B-B7AF636A7D1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C2DD3D-C82D-43AE-A4C1-3C4FEAD2826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C248032C-A166-4D2B-B2AB-1EB762EC59EE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CED0339-100F-4B37-AC27-4F24B52A00B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016BE28-1C4C-4864-AC7E-125FD923E5E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196DF7DB-D1F0-40C2-B159-6BBDB86C8D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97C43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AA9068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AA9068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NGNlOTI2OWU5MjZjMjY4NjJkNDUwMzIzODNjYmYifQ=="/>
    <w:docVar w:name="KSO_WPS_MARK_KEY" w:val="a10897a5-3829-42b1-813e-65fe89b40fe8"/>
  </w:docVars>
  <w:rsids>
    <w:rsidRoot w:val="00000000"/>
    <w:rsid w:val="02011E49"/>
    <w:rsid w:val="02DE700F"/>
    <w:rsid w:val="043B32EC"/>
    <w:rsid w:val="0C806FC7"/>
    <w:rsid w:val="12887C05"/>
    <w:rsid w:val="131D656C"/>
    <w:rsid w:val="19846F24"/>
    <w:rsid w:val="1BE30301"/>
    <w:rsid w:val="20062ED0"/>
    <w:rsid w:val="22A13384"/>
    <w:rsid w:val="247640AE"/>
    <w:rsid w:val="25D7381C"/>
    <w:rsid w:val="29CD68C4"/>
    <w:rsid w:val="2C241F43"/>
    <w:rsid w:val="402B347E"/>
    <w:rsid w:val="42D64126"/>
    <w:rsid w:val="43A678F1"/>
    <w:rsid w:val="500B3A9F"/>
    <w:rsid w:val="50A32F39"/>
    <w:rsid w:val="5A690D72"/>
    <w:rsid w:val="62794301"/>
    <w:rsid w:val="628B1E8D"/>
    <w:rsid w:val="64F56E7B"/>
    <w:rsid w:val="6C6F6F09"/>
    <w:rsid w:val="6F7857B9"/>
    <w:rsid w:val="72B32462"/>
    <w:rsid w:val="766941BE"/>
    <w:rsid w:val="78EA203F"/>
    <w:rsid w:val="7975671E"/>
    <w:rsid w:val="7D6C1C56"/>
    <w:rsid w:val="7F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15"/>
      <w:ind w:left="667" w:right="765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hAnsi="Calibri" w:eastAsia="楷体_GB2312" w:cs="Times New Roman"/>
      <w:kern w:val="0"/>
      <w:sz w:val="28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eastAsia="仿宋_GB2312" w:cs="Times New Roman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  <w:rPr>
      <w:rFonts w:ascii="仿宋_GB2312" w:hAnsi="Calibri" w:eastAsia="仿宋_GB2312" w:cs="Times New Roman"/>
      <w:sz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fontstyle31"/>
    <w:qFormat/>
    <w:uiPriority w:val="99"/>
    <w:rPr>
      <w:rFonts w:ascii="黑体" w:hAnsi="黑体" w:eastAsia="黑体" w:cs="Times New Roman"/>
      <w:color w:val="000000"/>
      <w:sz w:val="32"/>
      <w:szCs w:val="32"/>
    </w:rPr>
  </w:style>
  <w:style w:type="character" w:customStyle="1" w:styleId="15">
    <w:name w:val="fontstyle11"/>
    <w:qFormat/>
    <w:uiPriority w:val="99"/>
    <w:rPr>
      <w:rFonts w:ascii="仿宋" w:hAnsi="仿宋" w:eastAsia="仿宋" w:cs="Times New Roman"/>
      <w:color w:val="000000"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仿宋_GB2312" w:cs="Times New Roman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6</Pages>
  <Words>2088</Words>
  <Characters>2265</Characters>
  <Lines>0</Lines>
  <Paragraphs>0</Paragraphs>
  <TotalTime>7</TotalTime>
  <ScaleCrop>false</ScaleCrop>
  <LinksUpToDate>false</LinksUpToDate>
  <CharactersWithSpaces>2265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繁花起义</dc:creator>
  <cp:lastModifiedBy>-</cp:lastModifiedBy>
  <dcterms:modified xsi:type="dcterms:W3CDTF">2024-11-08T03:00:31Z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C874CFA20A894DE495338892722094B3_13</vt:lpwstr>
  </property>
</Properties>
</file>