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600" w:lineRule="exact"/>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附件</w:t>
      </w:r>
    </w:p>
    <w:p>
      <w:pPr>
        <w:pStyle w:val="2"/>
        <w:spacing w:line="600" w:lineRule="exact"/>
        <w:rPr>
          <w:rFonts w:ascii="仿宋_GB2312" w:hAnsi="仿宋_GB2312" w:eastAsia="仿宋_GB2312" w:cs="仿宋_GB2312"/>
          <w:sz w:val="32"/>
          <w:szCs w:val="32"/>
          <w:lang w:val="en-US" w:eastAsia="zh-CN"/>
        </w:rPr>
      </w:pPr>
    </w:p>
    <w:p>
      <w:pPr>
        <w:pStyle w:val="2"/>
        <w:spacing w:line="600" w:lineRule="exact"/>
        <w:jc w:val="center"/>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2026年“乐享鄂州”假日消费券评审要点</w:t>
      </w:r>
    </w:p>
    <w:p>
      <w:pPr>
        <w:pStyle w:val="2"/>
        <w:spacing w:line="600" w:lineRule="exact"/>
        <w:jc w:val="center"/>
        <w:rPr>
          <w:rFonts w:ascii="华文中宋" w:hAnsi="华文中宋" w:eastAsia="华文中宋" w:cs="华文中宋"/>
          <w:b/>
          <w:bCs/>
          <w:sz w:val="44"/>
          <w:szCs w:val="44"/>
          <w:lang w:val="en-US" w:eastAsia="zh-CN"/>
        </w:rPr>
      </w:pPr>
    </w:p>
    <w:p>
      <w:pPr>
        <w:pStyle w:val="2"/>
        <w:spacing w:line="600" w:lineRule="exact"/>
        <w:ind w:firstLine="640" w:firstLineChars="200"/>
        <w:rPr>
          <w:rFonts w:ascii="仿宋_GB2312" w:hAnsi="仿宋_GB2312" w:eastAsia="仿宋_GB2312" w:cs="仿宋_GB2312"/>
          <w:sz w:val="32"/>
          <w:szCs w:val="32"/>
          <w:lang w:val="en-US" w:eastAsia="zh-CN"/>
        </w:rPr>
      </w:pPr>
      <w:r>
        <w:rPr>
          <w:rFonts w:hint="eastAsia" w:ascii="黑体" w:hAnsi="黑体" w:eastAsia="黑体" w:cs="黑体"/>
          <w:b w:val="0"/>
          <w:bCs w:val="0"/>
          <w:sz w:val="32"/>
          <w:szCs w:val="32"/>
          <w:lang w:val="en-US" w:eastAsia="zh-CN"/>
        </w:rPr>
        <w:t>一、基础条件。</w:t>
      </w:r>
      <w:r>
        <w:rPr>
          <w:rFonts w:hint="eastAsia" w:ascii="仿宋_GB2312" w:hAnsi="仿宋_GB2312" w:eastAsia="仿宋_GB2312" w:cs="仿宋_GB2312"/>
          <w:b/>
          <w:bCs/>
          <w:sz w:val="32"/>
          <w:szCs w:val="32"/>
          <w:lang w:val="en-US" w:eastAsia="zh-CN"/>
        </w:rPr>
        <w:t>平台商户覆盖能力：</w:t>
      </w:r>
      <w:r>
        <w:rPr>
          <w:rFonts w:hint="eastAsia" w:ascii="仿宋_GB2312" w:hAnsi="仿宋_GB2312" w:eastAsia="仿宋_GB2312" w:cs="仿宋_GB2312"/>
          <w:b w:val="0"/>
          <w:bCs w:val="0"/>
          <w:sz w:val="32"/>
          <w:szCs w:val="32"/>
          <w:lang w:val="en-US" w:eastAsia="zh-CN"/>
        </w:rPr>
        <w:t>线上平台主要为平台自营仓商品品牌和商品情况，需具有线上零售类产品销售优势，产品品类丰富，自营能力强，自营品牌数量多、交易量大。</w:t>
      </w:r>
      <w:r>
        <w:rPr>
          <w:rFonts w:ascii="仿宋_GB2312" w:hAnsi="仿宋_GB2312" w:eastAsia="仿宋_GB2312" w:cs="仿宋_GB2312"/>
          <w:b w:val="0"/>
          <w:bCs w:val="0"/>
          <w:sz w:val="32"/>
          <w:szCs w:val="32"/>
          <w:lang w:val="en-US" w:eastAsia="zh-CN"/>
        </w:rPr>
        <w:t>线下</w:t>
      </w:r>
      <w:r>
        <w:rPr>
          <w:rFonts w:ascii="仿宋_GB2312" w:hAnsi="仿宋_GB2312" w:eastAsia="仿宋_GB2312" w:cs="仿宋_GB2312"/>
          <w:sz w:val="32"/>
          <w:szCs w:val="32"/>
          <w:lang w:val="en-US" w:eastAsia="zh-CN"/>
        </w:rPr>
        <w:t>平台</w:t>
      </w:r>
      <w:r>
        <w:rPr>
          <w:rFonts w:hint="eastAsia" w:ascii="仿宋_GB2312" w:hAnsi="仿宋_GB2312" w:eastAsia="仿宋_GB2312" w:cs="仿宋_GB2312"/>
          <w:sz w:val="32"/>
          <w:szCs w:val="32"/>
          <w:lang w:val="en-US" w:eastAsia="zh-CN"/>
        </w:rPr>
        <w:t>主要为</w:t>
      </w:r>
      <w:r>
        <w:rPr>
          <w:rFonts w:ascii="仿宋_GB2312" w:hAnsi="仿宋_GB2312" w:eastAsia="仿宋_GB2312" w:cs="仿宋_GB2312"/>
          <w:sz w:val="32"/>
          <w:szCs w:val="32"/>
          <w:lang w:val="en-US" w:eastAsia="zh-CN"/>
        </w:rPr>
        <w:t>已注册实体门店数量，覆盖省内县市区数量，</w:t>
      </w:r>
      <w:r>
        <w:rPr>
          <w:rFonts w:hint="eastAsia" w:ascii="仿宋_GB2312" w:hAnsi="仿宋_GB2312" w:eastAsia="仿宋_GB2312" w:cs="仿宋_GB2312"/>
          <w:sz w:val="32"/>
          <w:szCs w:val="32"/>
          <w:lang w:val="en-US" w:eastAsia="zh-CN"/>
        </w:rPr>
        <w:t>鄂州消费券</w:t>
      </w:r>
      <w:r>
        <w:rPr>
          <w:rFonts w:ascii="仿宋_GB2312" w:hAnsi="仿宋_GB2312" w:eastAsia="仿宋_GB2312" w:cs="仿宋_GB2312"/>
          <w:sz w:val="32"/>
          <w:szCs w:val="32"/>
          <w:lang w:val="en-US" w:eastAsia="zh-CN"/>
        </w:rPr>
        <w:t>活动中参与核销商户数占平台商户的比重。</w:t>
      </w:r>
      <w:r>
        <w:rPr>
          <w:rFonts w:ascii="仿宋_GB2312" w:hAnsi="仿宋_GB2312" w:eastAsia="仿宋_GB2312" w:cs="仿宋_GB2312"/>
          <w:b/>
          <w:bCs/>
          <w:sz w:val="32"/>
          <w:szCs w:val="32"/>
          <w:lang w:val="en-US" w:eastAsia="zh-CN"/>
        </w:rPr>
        <w:t>平台消费市场占有率</w:t>
      </w:r>
      <w:r>
        <w:rPr>
          <w:rFonts w:hint="eastAsia" w:ascii="仿宋_GB2312" w:hAnsi="仿宋_GB2312" w:eastAsia="仿宋_GB2312" w:cs="仿宋_GB2312"/>
          <w:b/>
          <w:bCs/>
          <w:sz w:val="32"/>
          <w:szCs w:val="32"/>
          <w:lang w:val="en-US" w:eastAsia="zh-CN"/>
        </w:rPr>
        <w:t>：</w:t>
      </w:r>
      <w:r>
        <w:rPr>
          <w:rFonts w:ascii="仿宋_GB2312" w:hAnsi="仿宋_GB2312" w:eastAsia="仿宋_GB2312" w:cs="仿宋_GB2312"/>
          <w:sz w:val="32"/>
          <w:szCs w:val="32"/>
          <w:lang w:val="en-US" w:eastAsia="zh-CN"/>
        </w:rPr>
        <w:t>平台上</w:t>
      </w:r>
      <w:r>
        <w:rPr>
          <w:rFonts w:hint="eastAsia" w:ascii="仿宋_GB2312" w:hAnsi="仿宋_GB2312" w:eastAsia="仿宋_GB2312" w:cs="仿宋_GB2312"/>
          <w:sz w:val="32"/>
          <w:szCs w:val="32"/>
          <w:lang w:val="en-US" w:eastAsia="zh-CN"/>
        </w:rPr>
        <w:t>注册人</w:t>
      </w:r>
      <w:r>
        <w:rPr>
          <w:rFonts w:ascii="仿宋_GB2312" w:hAnsi="仿宋_GB2312" w:eastAsia="仿宋_GB2312" w:cs="仿宋_GB2312"/>
          <w:sz w:val="32"/>
          <w:szCs w:val="32"/>
          <w:lang w:val="en-US" w:eastAsia="zh-CN"/>
        </w:rPr>
        <w:t>数，日活跃</w:t>
      </w:r>
      <w:r>
        <w:rPr>
          <w:rFonts w:hint="eastAsia" w:ascii="仿宋_GB2312" w:hAnsi="仿宋_GB2312" w:eastAsia="仿宋_GB2312" w:cs="仿宋_GB2312"/>
          <w:sz w:val="32"/>
          <w:szCs w:val="32"/>
          <w:lang w:val="en-US" w:eastAsia="zh-CN"/>
        </w:rPr>
        <w:t>鄂州市</w:t>
      </w:r>
      <w:r>
        <w:rPr>
          <w:rFonts w:ascii="仿宋_GB2312" w:hAnsi="仿宋_GB2312" w:eastAsia="仿宋_GB2312" w:cs="仿宋_GB2312"/>
          <w:sz w:val="32"/>
          <w:szCs w:val="32"/>
          <w:lang w:val="en-US" w:eastAsia="zh-CN"/>
        </w:rPr>
        <w:t>消费者人数</w:t>
      </w:r>
      <w:bookmarkStart w:id="0" w:name="_GoBack"/>
      <w:bookmarkEnd w:id="0"/>
      <w:r>
        <w:rPr>
          <w:rFonts w:ascii="仿宋_GB2312" w:hAnsi="仿宋_GB2312" w:eastAsia="仿宋_GB2312" w:cs="仿宋_GB2312"/>
          <w:sz w:val="32"/>
          <w:szCs w:val="32"/>
          <w:lang w:val="en-US" w:eastAsia="zh-CN"/>
        </w:rPr>
        <w:t>。</w:t>
      </w:r>
      <w:r>
        <w:rPr>
          <w:rFonts w:ascii="仿宋_GB2312" w:hAnsi="仿宋_GB2312" w:eastAsia="仿宋_GB2312" w:cs="仿宋_GB2312"/>
          <w:b/>
          <w:bCs/>
          <w:sz w:val="32"/>
          <w:szCs w:val="32"/>
          <w:lang w:val="en-US" w:eastAsia="zh-CN"/>
        </w:rPr>
        <w:t>促消费工作基础和成效</w:t>
      </w:r>
      <w:r>
        <w:rPr>
          <w:rFonts w:hint="eastAsia" w:ascii="仿宋_GB2312" w:hAnsi="仿宋_GB2312" w:eastAsia="仿宋_GB2312" w:cs="仿宋_GB2312"/>
          <w:b/>
          <w:bCs/>
          <w:sz w:val="32"/>
          <w:szCs w:val="32"/>
          <w:lang w:val="en-US" w:eastAsia="zh-CN"/>
        </w:rPr>
        <w:t>：</w:t>
      </w:r>
      <w:r>
        <w:rPr>
          <w:rFonts w:ascii="仿宋_GB2312" w:hAnsi="仿宋_GB2312" w:eastAsia="仿宋_GB2312" w:cs="仿宋_GB2312"/>
          <w:sz w:val="32"/>
          <w:szCs w:val="32"/>
          <w:lang w:val="en-US" w:eastAsia="zh-CN"/>
        </w:rPr>
        <w:t>202</w:t>
      </w:r>
      <w:r>
        <w:rPr>
          <w:rFonts w:hint="eastAsia" w:ascii="仿宋_GB2312" w:hAnsi="仿宋_GB2312" w:eastAsia="仿宋_GB2312" w:cs="仿宋_GB2312"/>
          <w:sz w:val="32"/>
          <w:szCs w:val="32"/>
          <w:lang w:val="en-US" w:eastAsia="zh-CN"/>
        </w:rPr>
        <w:t>6</w:t>
      </w:r>
      <w:r>
        <w:rPr>
          <w:rFonts w:ascii="仿宋_GB2312" w:hAnsi="仿宋_GB2312" w:eastAsia="仿宋_GB2312" w:cs="仿宋_GB2312"/>
          <w:sz w:val="32"/>
          <w:szCs w:val="32"/>
          <w:lang w:val="en-US" w:eastAsia="zh-CN"/>
        </w:rPr>
        <w:t>年在</w:t>
      </w:r>
      <w:r>
        <w:rPr>
          <w:rFonts w:hint="eastAsia" w:ascii="仿宋_GB2312" w:hAnsi="仿宋_GB2312" w:eastAsia="仿宋_GB2312" w:cs="仿宋_GB2312"/>
          <w:sz w:val="32"/>
          <w:szCs w:val="32"/>
          <w:lang w:val="en-US" w:eastAsia="zh-CN"/>
        </w:rPr>
        <w:t>省内外</w:t>
      </w:r>
      <w:r>
        <w:rPr>
          <w:rFonts w:ascii="仿宋_GB2312" w:hAnsi="仿宋_GB2312" w:eastAsia="仿宋_GB2312" w:cs="仿宋_GB2312"/>
          <w:sz w:val="32"/>
          <w:szCs w:val="32"/>
          <w:lang w:val="en-US" w:eastAsia="zh-CN"/>
        </w:rPr>
        <w:t>参与</w:t>
      </w:r>
      <w:r>
        <w:rPr>
          <w:rFonts w:hint="eastAsia" w:ascii="仿宋_GB2312" w:hAnsi="仿宋_GB2312" w:eastAsia="仿宋_GB2312" w:cs="仿宋_GB2312"/>
          <w:sz w:val="32"/>
          <w:szCs w:val="32"/>
          <w:lang w:val="en-US" w:eastAsia="zh-CN"/>
        </w:rPr>
        <w:t>消费券</w:t>
      </w:r>
      <w:r>
        <w:rPr>
          <w:rFonts w:ascii="仿宋_GB2312" w:hAnsi="仿宋_GB2312" w:eastAsia="仿宋_GB2312" w:cs="仿宋_GB2312"/>
          <w:sz w:val="32"/>
          <w:szCs w:val="32"/>
          <w:lang w:val="en-US" w:eastAsia="zh-CN"/>
        </w:rPr>
        <w:t>等促消费政策活动情况。</w:t>
      </w:r>
    </w:p>
    <w:p>
      <w:pPr>
        <w:pStyle w:val="2"/>
        <w:spacing w:line="600" w:lineRule="exact"/>
        <w:ind w:firstLine="640" w:firstLineChars="200"/>
        <w:rPr>
          <w:rFonts w:ascii="仿宋_GB2312" w:hAnsi="仿宋_GB2312" w:eastAsia="仿宋_GB2312" w:cs="仿宋_GB2312"/>
          <w:sz w:val="32"/>
          <w:szCs w:val="32"/>
          <w:lang w:val="en-US" w:eastAsia="zh-CN"/>
        </w:rPr>
      </w:pPr>
      <w:r>
        <w:rPr>
          <w:rFonts w:hint="eastAsia" w:ascii="黑体" w:hAnsi="黑体" w:eastAsia="黑体" w:cs="黑体"/>
          <w:b w:val="0"/>
          <w:bCs w:val="0"/>
          <w:sz w:val="32"/>
          <w:szCs w:val="32"/>
          <w:lang w:val="en-US" w:eastAsia="zh-CN"/>
        </w:rPr>
        <w:t>二、方案设计。</w:t>
      </w:r>
      <w:r>
        <w:rPr>
          <w:rFonts w:ascii="仿宋_GB2312" w:hAnsi="仿宋_GB2312" w:eastAsia="仿宋_GB2312" w:cs="仿宋_GB2312"/>
          <w:b/>
          <w:bCs/>
          <w:sz w:val="32"/>
          <w:szCs w:val="32"/>
          <w:lang w:val="en-US" w:eastAsia="zh-CN"/>
        </w:rPr>
        <w:t>发放规则设计科学性</w:t>
      </w:r>
      <w:r>
        <w:rPr>
          <w:rFonts w:hint="eastAsia" w:ascii="仿宋_GB2312" w:hAnsi="仿宋_GB2312" w:eastAsia="仿宋_GB2312" w:cs="仿宋_GB2312"/>
          <w:b/>
          <w:bCs/>
          <w:sz w:val="32"/>
          <w:szCs w:val="32"/>
          <w:lang w:val="en-US" w:eastAsia="zh-CN"/>
        </w:rPr>
        <w:t>：</w:t>
      </w:r>
      <w:r>
        <w:rPr>
          <w:rFonts w:ascii="仿宋_GB2312" w:hAnsi="仿宋_GB2312" w:eastAsia="仿宋_GB2312" w:cs="仿宋_GB2312"/>
          <w:sz w:val="32"/>
          <w:szCs w:val="32"/>
          <w:lang w:val="en-US" w:eastAsia="zh-CN"/>
        </w:rPr>
        <w:t>结合</w:t>
      </w:r>
      <w:r>
        <w:rPr>
          <w:rFonts w:hint="eastAsia" w:ascii="仿宋_GB2312" w:hAnsi="仿宋_GB2312" w:eastAsia="仿宋_GB2312" w:cs="仿宋_GB2312"/>
          <w:sz w:val="32"/>
          <w:szCs w:val="32"/>
          <w:lang w:val="en-US" w:eastAsia="zh-CN"/>
        </w:rPr>
        <w:t>鄂州市</w:t>
      </w:r>
      <w:r>
        <w:rPr>
          <w:rFonts w:ascii="仿宋_GB2312" w:hAnsi="仿宋_GB2312" w:eastAsia="仿宋_GB2312" w:cs="仿宋_GB2312"/>
          <w:sz w:val="32"/>
          <w:szCs w:val="32"/>
          <w:lang w:val="en-US" w:eastAsia="zh-CN"/>
        </w:rPr>
        <w:t>消费水平、消费特点，确定每日发放数量方案，控制发放节奏，确保政策尽量延续至</w:t>
      </w:r>
      <w:r>
        <w:rPr>
          <w:rFonts w:hint="eastAsia" w:ascii="仿宋_GB2312" w:hAnsi="仿宋_GB2312" w:eastAsia="仿宋_GB2312" w:cs="仿宋_GB2312"/>
          <w:sz w:val="32"/>
          <w:szCs w:val="32"/>
          <w:lang w:val="en-US" w:eastAsia="zh-CN"/>
        </w:rPr>
        <w:t>12</w:t>
      </w:r>
      <w:r>
        <w:rPr>
          <w:rFonts w:ascii="仿宋_GB2312" w:hAnsi="仿宋_GB2312" w:eastAsia="仿宋_GB2312" w:cs="仿宋_GB2312"/>
          <w:sz w:val="32"/>
          <w:szCs w:val="32"/>
          <w:lang w:val="en-US" w:eastAsia="zh-CN"/>
        </w:rPr>
        <w:t>月底的同时，确保财政资金核销率。</w:t>
      </w:r>
      <w:r>
        <w:rPr>
          <w:rFonts w:ascii="仿宋_GB2312" w:hAnsi="仿宋_GB2312" w:eastAsia="仿宋_GB2312" w:cs="仿宋_GB2312"/>
          <w:b/>
          <w:bCs/>
          <w:sz w:val="32"/>
          <w:szCs w:val="32"/>
          <w:lang w:val="en-US" w:eastAsia="zh-CN"/>
        </w:rPr>
        <w:t>保障发放效果的措施</w:t>
      </w:r>
      <w:r>
        <w:rPr>
          <w:rFonts w:hint="eastAsia" w:ascii="仿宋_GB2312" w:hAnsi="仿宋_GB2312" w:eastAsia="仿宋_GB2312" w:cs="仿宋_GB2312"/>
          <w:b/>
          <w:bCs/>
          <w:sz w:val="32"/>
          <w:szCs w:val="32"/>
          <w:lang w:val="en-US" w:eastAsia="zh-CN"/>
        </w:rPr>
        <w:t>：</w:t>
      </w:r>
      <w:r>
        <w:rPr>
          <w:rFonts w:ascii="仿宋_GB2312" w:hAnsi="仿宋_GB2312" w:eastAsia="仿宋_GB2312" w:cs="仿宋_GB2312"/>
          <w:sz w:val="32"/>
          <w:szCs w:val="32"/>
          <w:lang w:val="en-US" w:eastAsia="zh-CN"/>
        </w:rPr>
        <w:t>在参与核销情况不及预期的情况下能</w:t>
      </w:r>
      <w:r>
        <w:rPr>
          <w:rFonts w:hint="eastAsia" w:ascii="仿宋_GB2312" w:hAnsi="仿宋_GB2312" w:eastAsia="仿宋_GB2312" w:cs="仿宋_GB2312"/>
          <w:sz w:val="32"/>
          <w:szCs w:val="32"/>
          <w:lang w:val="en-US" w:eastAsia="zh-CN"/>
        </w:rPr>
        <w:t>采取</w:t>
      </w:r>
      <w:r>
        <w:rPr>
          <w:rFonts w:ascii="仿宋_GB2312" w:hAnsi="仿宋_GB2312" w:eastAsia="仿宋_GB2312" w:cs="仿宋_GB2312"/>
          <w:sz w:val="32"/>
          <w:szCs w:val="32"/>
          <w:lang w:val="en-US" w:eastAsia="zh-CN"/>
        </w:rPr>
        <w:t>提高核销率的有效措施。</w:t>
      </w:r>
    </w:p>
    <w:p>
      <w:pPr>
        <w:pStyle w:val="2"/>
        <w:spacing w:line="600" w:lineRule="exact"/>
        <w:ind w:firstLine="640" w:firstLineChars="200"/>
        <w:rPr>
          <w:rFonts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三、技术保障和风险管控能力。</w:t>
      </w:r>
      <w:r>
        <w:rPr>
          <w:rFonts w:ascii="仿宋_GB2312" w:hAnsi="仿宋_GB2312" w:eastAsia="仿宋_GB2312" w:cs="仿宋_GB2312"/>
          <w:b/>
          <w:bCs/>
          <w:sz w:val="32"/>
          <w:szCs w:val="32"/>
          <w:lang w:val="en-US" w:eastAsia="zh-CN"/>
        </w:rPr>
        <w:t>订单核销系统</w:t>
      </w:r>
      <w:r>
        <w:rPr>
          <w:rFonts w:hint="eastAsia" w:ascii="仿宋_GB2312" w:hAnsi="仿宋_GB2312" w:eastAsia="仿宋_GB2312" w:cs="仿宋_GB2312"/>
          <w:b/>
          <w:bCs/>
          <w:sz w:val="32"/>
          <w:szCs w:val="32"/>
          <w:lang w:val="en-US" w:eastAsia="zh-CN"/>
        </w:rPr>
        <w:t>：</w:t>
      </w:r>
      <w:r>
        <w:rPr>
          <w:rFonts w:ascii="仿宋_GB2312" w:hAnsi="仿宋_GB2312" w:eastAsia="仿宋_GB2312" w:cs="仿宋_GB2312"/>
          <w:sz w:val="32"/>
          <w:szCs w:val="32"/>
          <w:lang w:val="en-US" w:eastAsia="zh-CN"/>
        </w:rPr>
        <w:t>能在规定时间内完成订单核销系统的开发，确保消费者核销便捷，对活动规则展示清晰。</w:t>
      </w:r>
      <w:r>
        <w:rPr>
          <w:rFonts w:ascii="仿宋_GB2312" w:hAnsi="仿宋_GB2312" w:eastAsia="仿宋_GB2312" w:cs="仿宋_GB2312"/>
          <w:b/>
          <w:bCs/>
          <w:sz w:val="32"/>
          <w:szCs w:val="32"/>
          <w:lang w:val="en-US" w:eastAsia="zh-CN"/>
        </w:rPr>
        <w:t>（线下平台）商户报名系统</w:t>
      </w:r>
      <w:r>
        <w:rPr>
          <w:rFonts w:hint="eastAsia" w:ascii="仿宋_GB2312" w:hAnsi="仿宋_GB2312" w:eastAsia="仿宋_GB2312" w:cs="仿宋_GB2312"/>
          <w:b/>
          <w:bCs/>
          <w:sz w:val="32"/>
          <w:szCs w:val="32"/>
          <w:lang w:val="en-US" w:eastAsia="zh-CN"/>
        </w:rPr>
        <w:t>：</w:t>
      </w:r>
      <w:r>
        <w:rPr>
          <w:rFonts w:ascii="仿宋_GB2312" w:hAnsi="仿宋_GB2312" w:eastAsia="仿宋_GB2312" w:cs="仿宋_GB2312"/>
          <w:sz w:val="32"/>
          <w:szCs w:val="32"/>
          <w:lang w:val="en-US" w:eastAsia="zh-CN"/>
        </w:rPr>
        <w:t>能在规定时间内完成商户报名系统的开发，完成组织活动商户报名、签订承诺函等工作能力，配合市</w:t>
      </w:r>
      <w:r>
        <w:rPr>
          <w:rFonts w:hint="eastAsia" w:ascii="仿宋_GB2312" w:hAnsi="仿宋_GB2312" w:eastAsia="仿宋_GB2312" w:cs="仿宋_GB2312"/>
          <w:sz w:val="32"/>
          <w:szCs w:val="32"/>
          <w:lang w:val="en-US" w:eastAsia="zh-CN"/>
        </w:rPr>
        <w:t>区</w:t>
      </w:r>
      <w:r>
        <w:rPr>
          <w:rFonts w:ascii="仿宋_GB2312" w:hAnsi="仿宋_GB2312" w:eastAsia="仿宋_GB2312" w:cs="仿宋_GB2312"/>
          <w:sz w:val="32"/>
          <w:szCs w:val="32"/>
          <w:lang w:val="en-US" w:eastAsia="zh-CN"/>
        </w:rPr>
        <w:t>商务部门对参与活动商户进行有效管理。</w:t>
      </w:r>
      <w:r>
        <w:rPr>
          <w:rFonts w:ascii="仿宋_GB2312" w:hAnsi="仿宋_GB2312" w:eastAsia="仿宋_GB2312" w:cs="仿宋_GB2312"/>
          <w:b/>
          <w:bCs/>
          <w:sz w:val="32"/>
          <w:szCs w:val="32"/>
          <w:lang w:val="en-US" w:eastAsia="zh-CN"/>
        </w:rPr>
        <w:t>（线上平台）订单物流系统</w:t>
      </w:r>
      <w:r>
        <w:rPr>
          <w:rFonts w:hint="eastAsia" w:ascii="仿宋_GB2312" w:hAnsi="仿宋_GB2312" w:eastAsia="仿宋_GB2312" w:cs="仿宋_GB2312"/>
          <w:sz w:val="32"/>
          <w:szCs w:val="32"/>
          <w:lang w:val="en-US" w:eastAsia="zh-CN"/>
        </w:rPr>
        <w:t>。</w:t>
      </w:r>
      <w:r>
        <w:rPr>
          <w:rFonts w:ascii="仿宋_GB2312" w:hAnsi="仿宋_GB2312" w:eastAsia="仿宋_GB2312" w:cs="仿宋_GB2312"/>
          <w:b/>
          <w:bCs/>
          <w:sz w:val="32"/>
          <w:szCs w:val="32"/>
          <w:lang w:val="en-US" w:eastAsia="zh-CN"/>
        </w:rPr>
        <w:t>风险防控措施情况</w:t>
      </w:r>
      <w:r>
        <w:rPr>
          <w:rFonts w:hint="eastAsia" w:ascii="仿宋_GB2312" w:hAnsi="仿宋_GB2312" w:eastAsia="仿宋_GB2312" w:cs="仿宋_GB2312"/>
          <w:b/>
          <w:bCs/>
          <w:sz w:val="32"/>
          <w:szCs w:val="32"/>
          <w:lang w:val="en-US" w:eastAsia="zh-CN"/>
        </w:rPr>
        <w:t>：</w:t>
      </w:r>
      <w:r>
        <w:rPr>
          <w:rFonts w:ascii="仿宋_GB2312" w:hAnsi="仿宋_GB2312" w:eastAsia="仿宋_GB2312" w:cs="仿宋_GB2312"/>
          <w:sz w:val="32"/>
          <w:szCs w:val="32"/>
          <w:lang w:val="en-US" w:eastAsia="zh-CN"/>
        </w:rPr>
        <w:t>具备及时识别和阻止外挂软件抢券、诈骗、非法经营等套现财政资金不法行为发生的技术规避手段和有效打击措施，制定风险防控措施、违法违规行为查处机制等，保障财政资金安全的能力。</w:t>
      </w:r>
      <w:r>
        <w:rPr>
          <w:rFonts w:ascii="仿宋_GB2312" w:hAnsi="仿宋_GB2312" w:eastAsia="仿宋_GB2312" w:cs="仿宋_GB2312"/>
          <w:b/>
          <w:bCs/>
          <w:sz w:val="32"/>
          <w:szCs w:val="32"/>
          <w:lang w:val="en-US" w:eastAsia="zh-CN"/>
        </w:rPr>
        <w:t>舆情处理能力</w:t>
      </w:r>
      <w:r>
        <w:rPr>
          <w:rFonts w:hint="eastAsia" w:ascii="仿宋_GB2312" w:hAnsi="仿宋_GB2312" w:eastAsia="仿宋_GB2312" w:cs="仿宋_GB2312"/>
          <w:b/>
          <w:bCs/>
          <w:sz w:val="32"/>
          <w:szCs w:val="32"/>
          <w:lang w:val="en-US" w:eastAsia="zh-CN"/>
        </w:rPr>
        <w:t>：</w:t>
      </w:r>
      <w:r>
        <w:rPr>
          <w:rFonts w:ascii="仿宋_GB2312" w:hAnsi="仿宋_GB2312" w:eastAsia="仿宋_GB2312" w:cs="仿宋_GB2312"/>
          <w:sz w:val="32"/>
          <w:szCs w:val="32"/>
          <w:lang w:val="en-US" w:eastAsia="zh-CN"/>
        </w:rPr>
        <w:t>制定有消费者投诉举报方式及处理机制，平台舆情应急方案，针对可能出现的舆情以及应对措施，具备成熟、高效的客户投诉处理机制，在以往</w:t>
      </w:r>
      <w:r>
        <w:rPr>
          <w:rFonts w:hint="eastAsia" w:ascii="仿宋_GB2312" w:hAnsi="仿宋_GB2312" w:eastAsia="仿宋_GB2312" w:cs="仿宋_GB2312"/>
          <w:sz w:val="32"/>
          <w:szCs w:val="32"/>
          <w:lang w:val="en-US" w:eastAsia="zh-CN"/>
        </w:rPr>
        <w:t>消费券</w:t>
      </w:r>
      <w:r>
        <w:rPr>
          <w:rFonts w:ascii="仿宋_GB2312" w:hAnsi="仿宋_GB2312" w:eastAsia="仿宋_GB2312" w:cs="仿宋_GB2312"/>
          <w:sz w:val="32"/>
          <w:szCs w:val="32"/>
          <w:lang w:val="en-US" w:eastAsia="zh-CN"/>
        </w:rPr>
        <w:t>发放过程中未发生投诉案件或较少发生投诉案件且发生投诉后处理及时得当，未造成负面舆情、不良影响。</w:t>
      </w:r>
      <w:r>
        <w:rPr>
          <w:rFonts w:ascii="仿宋_GB2312" w:hAnsi="仿宋_GB2312" w:eastAsia="仿宋_GB2312" w:cs="仿宋_GB2312"/>
          <w:b/>
          <w:bCs/>
          <w:sz w:val="32"/>
          <w:szCs w:val="32"/>
          <w:lang w:val="en-US" w:eastAsia="zh-CN"/>
        </w:rPr>
        <w:t>以往工作中未发生重大问题</w:t>
      </w:r>
      <w:r>
        <w:rPr>
          <w:rFonts w:hint="eastAsia" w:ascii="仿宋_GB2312" w:hAnsi="仿宋_GB2312" w:eastAsia="仿宋_GB2312" w:cs="仿宋_GB2312"/>
          <w:b/>
          <w:bCs/>
          <w:sz w:val="32"/>
          <w:szCs w:val="32"/>
          <w:lang w:val="en-US" w:eastAsia="zh-CN"/>
        </w:rPr>
        <w:t>：</w:t>
      </w:r>
      <w:r>
        <w:rPr>
          <w:rFonts w:ascii="仿宋_GB2312" w:hAnsi="仿宋_GB2312" w:eastAsia="仿宋_GB2312" w:cs="仿宋_GB2312"/>
          <w:sz w:val="32"/>
          <w:szCs w:val="32"/>
          <w:lang w:val="en-US" w:eastAsia="zh-CN"/>
        </w:rPr>
        <w:t>以往参与湖北</w:t>
      </w:r>
      <w:r>
        <w:rPr>
          <w:rFonts w:hint="eastAsia" w:ascii="仿宋_GB2312" w:hAnsi="仿宋_GB2312" w:eastAsia="仿宋_GB2312" w:cs="仿宋_GB2312"/>
          <w:sz w:val="32"/>
          <w:szCs w:val="32"/>
          <w:lang w:val="en-US" w:eastAsia="zh-CN"/>
        </w:rPr>
        <w:t>消费券</w:t>
      </w:r>
      <w:r>
        <w:rPr>
          <w:rFonts w:ascii="仿宋_GB2312" w:hAnsi="仿宋_GB2312" w:eastAsia="仿宋_GB2312" w:cs="仿宋_GB2312"/>
          <w:sz w:val="32"/>
          <w:szCs w:val="32"/>
          <w:lang w:val="en-US" w:eastAsia="zh-CN"/>
        </w:rPr>
        <w:t>发放工作中未出现重大风险问题。</w:t>
      </w:r>
    </w:p>
    <w:p>
      <w:pPr>
        <w:pStyle w:val="2"/>
        <w:spacing w:line="600" w:lineRule="exact"/>
        <w:ind w:firstLine="640" w:firstLineChars="200"/>
        <w:rPr>
          <w:rFonts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四、运营服务能力。</w:t>
      </w:r>
      <w:r>
        <w:rPr>
          <w:rFonts w:ascii="仿宋_GB2312" w:hAnsi="仿宋_GB2312" w:eastAsia="仿宋_GB2312" w:cs="仿宋_GB2312"/>
          <w:b/>
          <w:bCs/>
          <w:sz w:val="32"/>
          <w:szCs w:val="32"/>
          <w:lang w:val="en-US" w:eastAsia="zh-CN"/>
        </w:rPr>
        <w:t>团队人员组成</w:t>
      </w:r>
      <w:r>
        <w:rPr>
          <w:rFonts w:hint="eastAsia" w:ascii="仿宋_GB2312" w:hAnsi="仿宋_GB2312" w:eastAsia="仿宋_GB2312" w:cs="仿宋_GB2312"/>
          <w:b/>
          <w:bCs/>
          <w:sz w:val="32"/>
          <w:szCs w:val="32"/>
          <w:lang w:val="en-US" w:eastAsia="zh-CN"/>
        </w:rPr>
        <w:t>：</w:t>
      </w:r>
      <w:r>
        <w:rPr>
          <w:rFonts w:ascii="仿宋_GB2312" w:hAnsi="仿宋_GB2312" w:eastAsia="仿宋_GB2312" w:cs="仿宋_GB2312"/>
          <w:b w:val="0"/>
          <w:bCs w:val="0"/>
          <w:sz w:val="32"/>
          <w:szCs w:val="32"/>
          <w:lang w:val="en-US" w:eastAsia="zh-CN"/>
        </w:rPr>
        <w:t>有</w:t>
      </w:r>
      <w:r>
        <w:rPr>
          <w:rFonts w:ascii="仿宋_GB2312" w:hAnsi="仿宋_GB2312" w:eastAsia="仿宋_GB2312" w:cs="仿宋_GB2312"/>
          <w:sz w:val="32"/>
          <w:szCs w:val="32"/>
          <w:lang w:val="en-US" w:eastAsia="zh-CN"/>
        </w:rPr>
        <w:t>团队</w:t>
      </w:r>
      <w:r>
        <w:rPr>
          <w:rFonts w:hint="eastAsia" w:ascii="仿宋_GB2312" w:hAnsi="仿宋_GB2312" w:eastAsia="仿宋_GB2312" w:cs="仿宋_GB2312"/>
          <w:sz w:val="32"/>
          <w:szCs w:val="32"/>
          <w:lang w:val="en-US" w:eastAsia="zh-CN"/>
        </w:rPr>
        <w:t>主要</w:t>
      </w:r>
      <w:r>
        <w:rPr>
          <w:rFonts w:ascii="仿宋_GB2312" w:hAnsi="仿宋_GB2312" w:eastAsia="仿宋_GB2312" w:cs="仿宋_GB2312"/>
          <w:sz w:val="32"/>
          <w:szCs w:val="32"/>
          <w:lang w:val="en-US" w:eastAsia="zh-CN"/>
        </w:rPr>
        <w:t>人员组成方案，包括人员名单，负责内容，是否常驻</w:t>
      </w:r>
      <w:r>
        <w:rPr>
          <w:rFonts w:hint="eastAsia" w:ascii="仿宋_GB2312" w:hAnsi="仿宋_GB2312" w:eastAsia="仿宋_GB2312" w:cs="仿宋_GB2312"/>
          <w:sz w:val="32"/>
          <w:szCs w:val="32"/>
          <w:lang w:val="en-US" w:eastAsia="zh-CN"/>
        </w:rPr>
        <w:t>鄂州</w:t>
      </w:r>
      <w:r>
        <w:rPr>
          <w:rFonts w:ascii="仿宋_GB2312" w:hAnsi="仿宋_GB2312" w:eastAsia="仿宋_GB2312" w:cs="仿宋_GB2312"/>
          <w:sz w:val="32"/>
          <w:szCs w:val="32"/>
          <w:lang w:val="en-US" w:eastAsia="zh-CN"/>
        </w:rPr>
        <w:t>，确保在</w:t>
      </w:r>
      <w:r>
        <w:rPr>
          <w:rFonts w:hint="eastAsia" w:ascii="仿宋_GB2312" w:hAnsi="仿宋_GB2312" w:eastAsia="仿宋_GB2312" w:cs="仿宋_GB2312"/>
          <w:sz w:val="32"/>
          <w:szCs w:val="32"/>
          <w:lang w:val="en-US" w:eastAsia="zh-CN"/>
        </w:rPr>
        <w:t>鄂州</w:t>
      </w:r>
      <w:r>
        <w:rPr>
          <w:rFonts w:ascii="仿宋_GB2312" w:hAnsi="仿宋_GB2312" w:eastAsia="仿宋_GB2312" w:cs="仿宋_GB2312"/>
          <w:sz w:val="32"/>
          <w:szCs w:val="32"/>
          <w:lang w:val="en-US" w:eastAsia="zh-CN"/>
        </w:rPr>
        <w:t>有稳定、专业的运营团队，具备稳定得力、响应迅速的本地专业团队为</w:t>
      </w:r>
      <w:r>
        <w:rPr>
          <w:rFonts w:hint="eastAsia" w:ascii="仿宋_GB2312" w:hAnsi="仿宋_GB2312" w:eastAsia="仿宋_GB2312" w:cs="仿宋_GB2312"/>
          <w:sz w:val="32"/>
          <w:szCs w:val="32"/>
          <w:lang w:val="en-US" w:eastAsia="zh-CN"/>
        </w:rPr>
        <w:t>消费券</w:t>
      </w:r>
      <w:r>
        <w:rPr>
          <w:rFonts w:ascii="仿宋_GB2312" w:hAnsi="仿宋_GB2312" w:eastAsia="仿宋_GB2312" w:cs="仿宋_GB2312"/>
          <w:sz w:val="32"/>
          <w:szCs w:val="32"/>
          <w:lang w:val="en-US" w:eastAsia="zh-CN"/>
        </w:rPr>
        <w:t>发放提供服务保障。</w:t>
      </w:r>
      <w:r>
        <w:rPr>
          <w:rFonts w:ascii="仿宋_GB2312" w:hAnsi="仿宋_GB2312" w:eastAsia="仿宋_GB2312" w:cs="仿宋_GB2312"/>
          <w:b/>
          <w:bCs/>
          <w:sz w:val="32"/>
          <w:szCs w:val="32"/>
          <w:lang w:val="en-US" w:eastAsia="zh-CN"/>
        </w:rPr>
        <w:t>履约执行能力</w:t>
      </w:r>
      <w:r>
        <w:rPr>
          <w:rFonts w:hint="eastAsia" w:ascii="仿宋_GB2312" w:hAnsi="仿宋_GB2312" w:eastAsia="仿宋_GB2312" w:cs="仿宋_GB2312"/>
          <w:b/>
          <w:bCs/>
          <w:sz w:val="32"/>
          <w:szCs w:val="32"/>
          <w:lang w:val="en-US" w:eastAsia="zh-CN"/>
        </w:rPr>
        <w:t>：</w:t>
      </w:r>
      <w:r>
        <w:rPr>
          <w:rFonts w:ascii="仿宋_GB2312" w:hAnsi="仿宋_GB2312" w:eastAsia="仿宋_GB2312" w:cs="仿宋_GB2312"/>
          <w:sz w:val="32"/>
          <w:szCs w:val="32"/>
          <w:lang w:val="en-US" w:eastAsia="zh-CN"/>
        </w:rPr>
        <w:t>能够自觉配合和服从政府部门管理监督，按要求及时提供监测数据，积极配合开展审计和绩效评价。工作配合度高，工作人员沟</w:t>
      </w:r>
      <w:r>
        <w:rPr>
          <w:rFonts w:hint="eastAsia" w:ascii="仿宋_GB2312" w:hAnsi="仿宋_GB2312" w:eastAsia="仿宋_GB2312" w:cs="仿宋_GB2312"/>
          <w:sz w:val="32"/>
          <w:szCs w:val="32"/>
          <w:lang w:val="en-US" w:eastAsia="zh-CN"/>
        </w:rPr>
        <w:t>通能</w:t>
      </w:r>
      <w:r>
        <w:rPr>
          <w:rFonts w:ascii="仿宋_GB2312" w:hAnsi="仿宋_GB2312" w:eastAsia="仿宋_GB2312" w:cs="仿宋_GB2312"/>
          <w:sz w:val="32"/>
          <w:szCs w:val="32"/>
          <w:lang w:val="en-US" w:eastAsia="zh-CN"/>
        </w:rPr>
        <w:t>力强，服务质量好，能及时响应和协调解决各种突发问题。</w:t>
      </w:r>
    </w:p>
    <w:p>
      <w:pPr>
        <w:pStyle w:val="2"/>
        <w:spacing w:line="600" w:lineRule="exact"/>
        <w:ind w:firstLine="640" w:firstLineChars="200"/>
        <w:rPr>
          <w:rFonts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五、配套优惠及配合宣传能力</w:t>
      </w:r>
      <w:r>
        <w:rPr>
          <w:rFonts w:hint="eastAsia" w:ascii="仿宋_GB2312" w:hAnsi="仿宋_GB2312" w:eastAsia="仿宋_GB2312" w:cs="仿宋_GB2312"/>
          <w:sz w:val="32"/>
          <w:szCs w:val="32"/>
          <w:lang w:val="en-US" w:eastAsia="zh-CN"/>
        </w:rPr>
        <w:t>。</w:t>
      </w:r>
      <w:r>
        <w:rPr>
          <w:rFonts w:ascii="仿宋_GB2312" w:hAnsi="仿宋_GB2312" w:eastAsia="仿宋_GB2312" w:cs="仿宋_GB2312"/>
          <w:b/>
          <w:bCs/>
          <w:sz w:val="32"/>
          <w:szCs w:val="32"/>
          <w:lang w:val="en-US" w:eastAsia="zh-CN"/>
        </w:rPr>
        <w:t>配套资金</w:t>
      </w:r>
      <w:r>
        <w:rPr>
          <w:rFonts w:hint="eastAsia" w:ascii="仿宋_GB2312" w:hAnsi="仿宋_GB2312" w:eastAsia="仿宋_GB2312" w:cs="仿宋_GB2312"/>
          <w:b/>
          <w:bCs/>
          <w:sz w:val="32"/>
          <w:szCs w:val="32"/>
          <w:lang w:val="en-US" w:eastAsia="zh-CN"/>
        </w:rPr>
        <w:t>：</w:t>
      </w:r>
      <w:r>
        <w:rPr>
          <w:rFonts w:ascii="仿宋_GB2312" w:hAnsi="仿宋_GB2312" w:eastAsia="仿宋_GB2312" w:cs="仿宋_GB2312"/>
          <w:sz w:val="32"/>
          <w:szCs w:val="32"/>
          <w:lang w:val="en-US" w:eastAsia="zh-CN"/>
        </w:rPr>
        <w:t>能够配套平台自有资金，并协调商户提供优惠措施放大政策效应。</w:t>
      </w:r>
      <w:r>
        <w:rPr>
          <w:rFonts w:ascii="仿宋_GB2312" w:hAnsi="仿宋_GB2312" w:eastAsia="仿宋_GB2312" w:cs="仿宋_GB2312"/>
          <w:b/>
          <w:bCs/>
          <w:sz w:val="32"/>
          <w:szCs w:val="32"/>
          <w:lang w:val="en-US" w:eastAsia="zh-CN"/>
        </w:rPr>
        <w:t>配套活动</w:t>
      </w:r>
      <w:r>
        <w:rPr>
          <w:rFonts w:hint="eastAsia" w:ascii="仿宋_GB2312" w:hAnsi="仿宋_GB2312" w:eastAsia="仿宋_GB2312" w:cs="仿宋_GB2312"/>
          <w:b/>
          <w:bCs/>
          <w:sz w:val="32"/>
          <w:szCs w:val="32"/>
          <w:lang w:val="en-US" w:eastAsia="zh-CN"/>
        </w:rPr>
        <w:t>：</w:t>
      </w:r>
      <w:r>
        <w:rPr>
          <w:rFonts w:ascii="仿宋_GB2312" w:hAnsi="仿宋_GB2312" w:eastAsia="仿宋_GB2312" w:cs="仿宋_GB2312"/>
          <w:sz w:val="32"/>
          <w:szCs w:val="32"/>
          <w:lang w:val="en-US" w:eastAsia="zh-CN"/>
        </w:rPr>
        <w:t>能够利用平台自有渠道，围绕</w:t>
      </w:r>
      <w:r>
        <w:rPr>
          <w:rFonts w:hint="eastAsia" w:ascii="仿宋_GB2312" w:hAnsi="仿宋_GB2312" w:eastAsia="仿宋_GB2312" w:cs="仿宋_GB2312"/>
          <w:sz w:val="32"/>
          <w:szCs w:val="32"/>
          <w:lang w:val="en-US" w:eastAsia="zh-CN"/>
        </w:rPr>
        <w:t>消费券</w:t>
      </w:r>
      <w:r>
        <w:rPr>
          <w:rFonts w:ascii="仿宋_GB2312" w:hAnsi="仿宋_GB2312" w:eastAsia="仿宋_GB2312" w:cs="仿宋_GB2312"/>
          <w:sz w:val="32"/>
          <w:szCs w:val="32"/>
          <w:lang w:val="en-US" w:eastAsia="zh-CN"/>
        </w:rPr>
        <w:t>活动制定宣传推广方案，配套开展相应的促消费活动，全方位、多角度加强政策宣传，提高政策知晓度、群众参与度。</w:t>
      </w:r>
    </w:p>
    <w:p>
      <w:pPr>
        <w:pStyle w:val="2"/>
        <w:spacing w:line="600" w:lineRule="exact"/>
        <w:ind w:firstLine="640" w:firstLineChars="200"/>
        <w:rPr>
          <w:rFonts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六、资金安全管理。</w:t>
      </w:r>
      <w:r>
        <w:rPr>
          <w:rFonts w:ascii="仿宋_GB2312" w:hAnsi="仿宋_GB2312" w:eastAsia="仿宋_GB2312" w:cs="仿宋_GB2312"/>
          <w:b/>
          <w:bCs/>
          <w:sz w:val="32"/>
          <w:szCs w:val="32"/>
          <w:lang w:val="en-US" w:eastAsia="zh-CN"/>
        </w:rPr>
        <w:t>承担赔偿</w:t>
      </w:r>
      <w:r>
        <w:rPr>
          <w:rFonts w:hint="eastAsia" w:ascii="仿宋_GB2312" w:hAnsi="仿宋_GB2312" w:eastAsia="仿宋_GB2312" w:cs="仿宋_GB2312"/>
          <w:b/>
          <w:bCs/>
          <w:sz w:val="32"/>
          <w:szCs w:val="32"/>
          <w:lang w:val="en-US" w:eastAsia="zh-CN"/>
        </w:rPr>
        <w:t>：</w:t>
      </w:r>
      <w:r>
        <w:rPr>
          <w:rFonts w:ascii="仿宋_GB2312" w:hAnsi="仿宋_GB2312" w:eastAsia="仿宋_GB2312" w:cs="仿宋_GB2312"/>
          <w:sz w:val="32"/>
          <w:szCs w:val="32"/>
          <w:lang w:val="en-US" w:eastAsia="zh-CN"/>
        </w:rPr>
        <w:t>一旦发生违法违规核销</w:t>
      </w:r>
      <w:r>
        <w:rPr>
          <w:rFonts w:hint="eastAsia" w:ascii="仿宋_GB2312" w:hAnsi="仿宋_GB2312" w:eastAsia="仿宋_GB2312" w:cs="仿宋_GB2312"/>
          <w:sz w:val="32"/>
          <w:szCs w:val="32"/>
          <w:lang w:val="en-US" w:eastAsia="zh-CN"/>
        </w:rPr>
        <w:t>消费券</w:t>
      </w:r>
      <w:r>
        <w:rPr>
          <w:rFonts w:ascii="仿宋_GB2312" w:hAnsi="仿宋_GB2312" w:eastAsia="仿宋_GB2312" w:cs="仿宋_GB2312"/>
          <w:sz w:val="32"/>
          <w:szCs w:val="32"/>
          <w:lang w:val="en-US" w:eastAsia="zh-CN"/>
        </w:rPr>
        <w:t>行为，能够根据相关法律法规及委托协议，积极主动配合政府部门，全力追讨或承担相应大礼包资金损失。</w:t>
      </w:r>
    </w:p>
    <w:p>
      <w:pPr>
        <w:pStyle w:val="2"/>
        <w:spacing w:line="600" w:lineRule="exact"/>
        <w:rPr>
          <w:rFonts w:ascii="仿宋_GB2312" w:hAnsi="仿宋_GB2312" w:eastAsia="仿宋_GB2312" w:cs="仿宋_GB2312"/>
          <w:sz w:val="32"/>
          <w:szCs w:val="32"/>
          <w:lang w:val="en-US" w:eastAsia="zh-CN"/>
        </w:rPr>
      </w:pPr>
    </w:p>
    <w:sectPr>
      <w:footerReference r:id="rId5" w:type="default"/>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2010600030101010101"/>
    <w:charset w:val="88"/>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Lucida Sans">
    <w:altName w:val="DejaVu Sans"/>
    <w:panose1 w:val="020B0602030504020204"/>
    <w:charset w:val="00"/>
    <w:family w:val="auto"/>
    <w:pitch w:val="default"/>
    <w:sig w:usb0="00000000" w:usb1="00000000" w:usb2="00000000" w:usb3="00000000" w:csb0="20000001" w:csb1="00000000"/>
  </w:font>
  <w:font w:name="Tahoma">
    <w:altName w:val="Droid Sans"/>
    <w:panose1 w:val="020B0604030504040204"/>
    <w:charset w:val="00"/>
    <w:family w:val="swiss"/>
    <w:pitch w:val="default"/>
    <w:sig w:usb0="00000000" w:usb1="00000000" w:usb2="00000029" w:usb3="00000000" w:csb0="200101FF" w:csb1="20280000"/>
  </w:font>
  <w:font w:name="微软雅黑">
    <w:altName w:val="方正黑体_GBK"/>
    <w:panose1 w:val="020B0503020204020204"/>
    <w:charset w:val="86"/>
    <w:family w:val="swiss"/>
    <w:pitch w:val="default"/>
    <w:sig w:usb0="00000000" w:usb1="00000000" w:usb2="00000016" w:usb3="00000000" w:csb0="0004001F" w:csb1="00000000"/>
  </w:font>
  <w:font w:name="方正兰亭黑_GBK">
    <w:altName w:val="方正黑体_GBK"/>
    <w:panose1 w:val="02000000000000000000"/>
    <w:charset w:val="86"/>
    <w:family w:val="script"/>
    <w:pitch w:val="default"/>
    <w:sig w:usb0="00000000" w:usb1="00000000" w:usb2="0008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华文中宋">
    <w:altName w:val="汉仪中宋简"/>
    <w:panose1 w:val="02010600040101010101"/>
    <w:charset w:val="86"/>
    <w:family w:val="auto"/>
    <w:pitch w:val="default"/>
    <w:sig w:usb0="00000000" w:usb1="00000000" w:usb2="00000000" w:usb3="00000000" w:csb0="0004009F" w:csb1="DFD70000"/>
  </w:font>
  <w:font w:name="方正书宋_GBK">
    <w:panose1 w:val="02000000000000000000"/>
    <w:charset w:val="86"/>
    <w:family w:val="auto"/>
    <w:pitch w:val="default"/>
    <w:sig w:usb0="00000001" w:usb1="08000000" w:usb2="00000000" w:usb3="00000000" w:csb0="00040000" w:csb1="00000000"/>
  </w:font>
  <w:font w:name="Droid Sans">
    <w:panose1 w:val="020B0606030804020204"/>
    <w:charset w:val="00"/>
    <w:family w:val="auto"/>
    <w:pitch w:val="default"/>
    <w:sig w:usb0="E00002EF" w:usb1="4000205B" w:usb2="00000028" w:usb3="00000000" w:csb0="2000019F" w:csb1="00000000"/>
  </w:font>
  <w:font w:name="汉仪中宋简">
    <w:panose1 w:val="02010600000101010101"/>
    <w:charset w:val="86"/>
    <w:family w:val="auto"/>
    <w:pitch w:val="default"/>
    <w:sig w:usb0="00000001" w:usb1="080E0800" w:usb2="00000002" w:usb3="00000000" w:csb0="00040000" w:csb1="0000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76200" cy="260350"/>
              <wp:effectExtent l="0" t="0" r="0" b="0"/>
              <wp:wrapNone/>
              <wp:docPr id="1" name="文本框 1"/>
              <wp:cNvGraphicFramePr/>
              <a:graphic xmlns:a="http://schemas.openxmlformats.org/drawingml/2006/main">
                <a:graphicData uri="http://schemas.microsoft.com/office/word/2010/wordprocessingShape">
                  <wps:wsp>
                    <wps:cNvSpPr/>
                    <wps:spPr>
                      <a:xfrm>
                        <a:off x="0" y="0"/>
                        <a:ext cx="76198" cy="260159"/>
                      </a:xfrm>
                      <a:prstGeom prst="rect">
                        <a:avLst/>
                      </a:prstGeom>
                      <a:noFill/>
                      <a:ln w="9525" cap="flat" cmpd="sng">
                        <a:noFill/>
                        <a:prstDash val="solid"/>
                        <a:round/>
                      </a:ln>
                    </wps:spPr>
                    <wps:txbx>
                      <w:txbxContent>
                        <w:p>
                          <w:pPr>
                            <w:pStyle w:val="6"/>
                            <w:rPr>
                              <w:rFonts w:hint="eastAsia" w:eastAsia="微软雅黑"/>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false" upright="false">
                      <a:spAutoFit/>
                    </wps:bodyPr>
                  </wps:wsp>
                </a:graphicData>
              </a:graphic>
            </wp:anchor>
          </w:drawing>
        </mc:Choice>
        <mc:Fallback>
          <w:pict>
            <v:rect id="文本框 1" o:spid="_x0000_s1026" o:spt="1" style="position:absolute;left:0pt;margin-top:0pt;height:20.5pt;width:6pt;mso-position-horizontal:center;mso-position-horizontal-relative:margin;mso-wrap-style:none;z-index:251659264;mso-width-relative:page;mso-height-relative:page;" filled="f" stroked="f" coordsize="21600,21600" o:gfxdata="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FgAAAGRycy9QSwEC&#10;FAAUAAAACACHTuJAbAP+e9AAAAADAQAADwAAAAAAAAABACAAAAA4AAAAZHJzL2Rvd25yZXYueG1s&#10;UEsBAhQAFAAAAAgAh07iQLmLuqLqAQAArQMAAA4AAAAAAAAAAQAgAAAANQEAAGRycy9lMm9Eb2Mu&#10;eG1sUEsFBgAAAAAGAAYAWQEAAJEFAAAAAA==&#10;">
              <v:fill on="f" focussize="0,0"/>
              <v:stroke on="f" joinstyle="round"/>
              <v:imagedata o:title=""/>
              <o:lock v:ext="edit" aspectratio="f"/>
              <v:textbox inset="0mm,0mm,0mm,0mm" style="mso-fit-shape-to-text:t;">
                <w:txbxContent>
                  <w:p>
                    <w:pPr>
                      <w:pStyle w:val="6"/>
                      <w:rPr>
                        <w:rFonts w:hint="eastAsia" w:eastAsia="微软雅黑"/>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false"/>
  <w:bordersDoNotSurroundFooter w:val="false"/>
  <w:documentProtection w:edit="readOnly" w:enforcement="0"/>
  <w:defaultTabStop w:val="720"/>
  <w:drawingGridHorizontalSpacing w:val="110"/>
  <w:drawingGridVerticalSpacing w:val="156"/>
  <w:displayHorizontalDrawingGridEvery w:val="1"/>
  <w:displayVerticalDrawingGridEvery w:val="1"/>
  <w:noPunctuationKerning w:val="true"/>
  <w:footnotePr>
    <w:footnote w:id="0"/>
    <w:footnote w:id="1"/>
  </w:footnotePr>
  <w:endnotePr>
    <w:endnote w:id="0"/>
    <w:endnote w:id="1"/>
  </w:endnotePr>
  <w:compat>
    <w:doNotExpandShiftReturn/>
    <w:useFELayout/>
    <w:doNotUseIndentAsNumberingTabStop/>
    <w:useAltKinsokuLineBreakRules/>
    <w:compatSetting w:name="compatibilityMode" w:uri="http://schemas.microsoft.com/office/word" w:val="14"/>
  </w:compat>
  <w:rsids>
    <w:rsidRoot w:val="00000000"/>
    <w:rsid w:val="0FEFD73F"/>
    <w:rsid w:val="77DB695A"/>
    <w:rsid w:val="F7DF0F0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Lucida Sans"/>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line="240" w:lineRule="auto"/>
    </w:pPr>
    <w:rPr>
      <w:rFonts w:ascii="Tahoma" w:hAnsi="Tahoma" w:eastAsia="微软雅黑" w:cs="Arial"/>
      <w:sz w:val="22"/>
      <w:szCs w:val="22"/>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5" w:lineRule="auto"/>
      <w:outlineLvl w:val="1"/>
    </w:pPr>
    <w:rPr>
      <w:rFonts w:ascii="方正兰亭黑_GBK" w:hAnsi="方正兰亭黑_GBK" w:eastAsia="黑体"/>
      <w:b/>
      <w:bCs/>
      <w:sz w:val="32"/>
      <w:szCs w:val="32"/>
    </w:rPr>
  </w:style>
  <w:style w:type="paragraph" w:styleId="5">
    <w:name w:val="heading 3"/>
    <w:basedOn w:val="1"/>
    <w:next w:val="1"/>
    <w:qFormat/>
    <w:uiPriority w:val="0"/>
    <w:pPr>
      <w:keepNext/>
      <w:keepLines/>
      <w:spacing w:before="260" w:after="260" w:line="415" w:lineRule="auto"/>
      <w:outlineLvl w:val="2"/>
    </w:pPr>
    <w:rPr>
      <w:b/>
      <w:bCs/>
      <w:sz w:val="32"/>
      <w:szCs w:val="32"/>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PlainText"/>
    <w:qFormat/>
    <w:uiPriority w:val="0"/>
    <w:pPr>
      <w:widowControl w:val="0"/>
      <w:jc w:val="both"/>
      <w:textAlignment w:val="baseline"/>
    </w:pPr>
    <w:rPr>
      <w:rFonts w:ascii="宋体" w:hAnsi="Courier New" w:eastAsia="宋体" w:cs="宋体"/>
      <w:kern w:val="0"/>
      <w:sz w:val="20"/>
      <w:szCs w:val="21"/>
      <w:lang w:val="en-US" w:eastAsia="zh-CN" w:bidi="ar-SA"/>
    </w:rPr>
  </w:style>
  <w:style w:type="paragraph" w:styleId="6">
    <w:name w:val="footer"/>
    <w:basedOn w:val="1"/>
    <w:qFormat/>
    <w:uiPriority w:val="0"/>
    <w:pPr>
      <w:tabs>
        <w:tab w:val="center" w:pos="4153"/>
        <w:tab w:val="right" w:pos="8306"/>
      </w:tabs>
      <w:adjustRightInd w:val="0"/>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adjustRightInd w:val="0"/>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rPr>
  </w:style>
  <w:style w:type="character" w:styleId="11">
    <w:name w:val="Strong"/>
    <w:basedOn w:val="10"/>
    <w:qFormat/>
    <w:uiPriority w:val="0"/>
    <w:rPr>
      <w:b/>
    </w:rPr>
  </w:style>
  <w:style w:type="character" w:styleId="12">
    <w:name w:val="Emphasis"/>
    <w:basedOn w:val="10"/>
    <w:qFormat/>
    <w:uiPriority w:val="0"/>
    <w:rPr>
      <w:i/>
    </w:rPr>
  </w:style>
  <w:style w:type="character" w:customStyle="1" w:styleId="13">
    <w:name w:val="font01"/>
    <w:basedOn w:val="10"/>
    <w:qFormat/>
    <w:uiPriority w:val="0"/>
    <w:rPr>
      <w:rFonts w:ascii="宋体" w:hAnsi="宋体" w:eastAsia="宋体" w:cs="宋体"/>
      <w:b/>
      <w:color w:val="000000"/>
      <w:sz w:val="22"/>
      <w:szCs w:val="22"/>
      <w:u w:val="none"/>
    </w:rPr>
  </w:style>
  <w:style w:type="character" w:customStyle="1" w:styleId="14">
    <w:name w:val="font11"/>
    <w:basedOn w:val="10"/>
    <w:qFormat/>
    <w:uiPriority w:val="0"/>
    <w:rPr>
      <w:rFonts w:ascii="宋体" w:hAnsi="宋体" w:eastAsia="宋体" w:cs="宋体"/>
      <w:color w:val="000000"/>
      <w:sz w:val="22"/>
      <w:szCs w:val="22"/>
      <w:u w:val="none"/>
    </w:rPr>
  </w:style>
  <w:style w:type="character" w:customStyle="1" w:styleId="15">
    <w:name w:val="font21"/>
    <w:basedOn w:val="10"/>
    <w:qFormat/>
    <w:uiPriority w:val="0"/>
    <w:rPr>
      <w:rFonts w:ascii="宋体" w:hAnsi="宋体" w:eastAsia="宋体" w:cs="宋体"/>
      <w:b/>
      <w:color w:val="000000"/>
      <w:sz w:val="22"/>
      <w:szCs w:val="22"/>
      <w:u w:val="none"/>
    </w:rPr>
  </w:style>
  <w:style w:type="character" w:customStyle="1" w:styleId="16">
    <w:name w:val="font31"/>
    <w:basedOn w:val="10"/>
    <w:qFormat/>
    <w:uiPriority w:val="0"/>
    <w:rPr>
      <w:rFonts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3</Pages>
  <Words>0</Words>
  <Characters>916</Characters>
  <Lines>0</Lines>
  <Paragraphs>11</Paragraphs>
  <TotalTime>31</TotalTime>
  <ScaleCrop>false</ScaleCrop>
  <LinksUpToDate>false</LinksUpToDate>
  <CharactersWithSpaces>1222</CharactersWithSpaces>
  <Application>WPS Office_11.8.2.10229_F1E327BC-269C-435d-A152-05C5408002CA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2008-09-14T09:20:00Z</dcterms:created>
  <dc:creator>Administrator</dc:creator>
  <cp:lastModifiedBy>inspur</cp:lastModifiedBy>
  <cp:lastPrinted>2026-01-14T02:55:00Z</cp:lastPrinted>
  <dcterms:modified xsi:type="dcterms:W3CDTF">2026-09-15T14:52:20Z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y fmtid="{D5CDD505-2E9C-101B-9397-08002B2CF9AE}" pid="3" name="KSOTemplateDocerSaveRecord">
    <vt:lpwstr>eyJoZGlkIjoiOGQ2NGZjODhmNjAxMjBkMmM0YmJjMzhiMDc5NzcxZjkiLCJ1c2VySWQiOiIzNjkyNDcxNDgifQ==</vt:lpwstr>
  </property>
  <property fmtid="{D5CDD505-2E9C-101B-9397-08002B2CF9AE}" pid="4" name="ICV">
    <vt:lpwstr>659928EF534D47F280681BD3BACA79E4_12</vt:lpwstr>
  </property>
</Properties>
</file>